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A0" w:rsidRPr="00A206CF" w:rsidRDefault="00E555A0" w:rsidP="002E2D02">
      <w:pPr>
        <w:jc w:val="center"/>
        <w:rPr>
          <w:rFonts w:ascii="方正小标宋简体" w:eastAsia="方正小标宋简体" w:hAnsi="黑体"/>
          <w:sz w:val="44"/>
          <w:szCs w:val="44"/>
        </w:rPr>
      </w:pPr>
      <w:r w:rsidRPr="00A206CF">
        <w:rPr>
          <w:rFonts w:ascii="方正小标宋简体" w:eastAsia="方正小标宋简体" w:hAnsi="黑体" w:hint="eastAsia"/>
          <w:sz w:val="44"/>
          <w:szCs w:val="44"/>
        </w:rPr>
        <w:t>霸州市</w:t>
      </w:r>
      <w:r>
        <w:rPr>
          <w:rFonts w:ascii="方正小标宋简体" w:eastAsia="方正小标宋简体" w:hAnsi="黑体" w:hint="eastAsia"/>
          <w:sz w:val="44"/>
          <w:szCs w:val="44"/>
        </w:rPr>
        <w:t>信访局</w:t>
      </w:r>
      <w:r w:rsidRPr="00A206CF">
        <w:rPr>
          <w:rFonts w:ascii="方正小标宋简体" w:eastAsia="方正小标宋简体" w:hAnsi="黑体"/>
          <w:sz w:val="44"/>
          <w:szCs w:val="44"/>
        </w:rPr>
        <w:t>2017</w:t>
      </w:r>
      <w:r w:rsidRPr="00A206CF">
        <w:rPr>
          <w:rFonts w:ascii="方正小标宋简体" w:eastAsia="方正小标宋简体" w:hAnsi="黑体" w:hint="eastAsia"/>
          <w:sz w:val="44"/>
          <w:szCs w:val="44"/>
        </w:rPr>
        <w:t>年部门预算信息公开</w:t>
      </w:r>
    </w:p>
    <w:p w:rsidR="00E555A0" w:rsidRPr="003D39DD" w:rsidRDefault="00E555A0" w:rsidP="002E2D02">
      <w:pPr>
        <w:spacing w:before="100" w:beforeAutospacing="1" w:after="100" w:afterAutospacing="1"/>
        <w:ind w:firstLineChars="200" w:firstLine="640"/>
        <w:rPr>
          <w:rFonts w:ascii="仿宋" w:eastAsia="仿宋" w:hAnsi="仿宋"/>
          <w:sz w:val="32"/>
          <w:szCs w:val="32"/>
        </w:rPr>
      </w:pPr>
      <w:r w:rsidRPr="003D39DD">
        <w:rPr>
          <w:rFonts w:ascii="仿宋" w:eastAsia="仿宋" w:hAnsi="仿宋" w:hint="eastAsia"/>
          <w:sz w:val="32"/>
          <w:szCs w:val="32"/>
        </w:rPr>
        <w:t>按照《预算法》、《地</w:t>
      </w:r>
      <w:r>
        <w:rPr>
          <w:rFonts w:ascii="仿宋" w:eastAsia="仿宋" w:hAnsi="仿宋" w:hint="eastAsia"/>
          <w:sz w:val="32"/>
          <w:szCs w:val="32"/>
        </w:rPr>
        <w:t>方预决算公开操作规程》和《河北省省级预算公开办法》规定，现将</w:t>
      </w:r>
      <w:r w:rsidRPr="003D39DD">
        <w:rPr>
          <w:rFonts w:ascii="仿宋" w:eastAsia="仿宋" w:hAnsi="仿宋" w:hint="eastAsia"/>
          <w:sz w:val="32"/>
          <w:szCs w:val="32"/>
        </w:rPr>
        <w:t>霸州市信访局</w:t>
      </w:r>
      <w:r w:rsidRPr="003D39DD">
        <w:rPr>
          <w:rFonts w:ascii="仿宋" w:eastAsia="仿宋" w:hAnsi="仿宋"/>
          <w:sz w:val="32"/>
          <w:szCs w:val="32"/>
        </w:rPr>
        <w:t>2017</w:t>
      </w:r>
      <w:r w:rsidRPr="003D39DD">
        <w:rPr>
          <w:rFonts w:ascii="仿宋" w:eastAsia="仿宋" w:hAnsi="仿宋" w:hint="eastAsia"/>
          <w:sz w:val="32"/>
          <w:szCs w:val="32"/>
        </w:rPr>
        <w:t>年部门预算公开如下</w:t>
      </w:r>
    </w:p>
    <w:p w:rsidR="00E555A0" w:rsidRPr="003D39DD" w:rsidRDefault="00E555A0" w:rsidP="003D39DD">
      <w:pPr>
        <w:ind w:firstLine="640"/>
        <w:rPr>
          <w:rFonts w:ascii="黑体" w:eastAsia="黑体" w:hAnsi="黑体"/>
          <w:sz w:val="32"/>
          <w:szCs w:val="32"/>
        </w:rPr>
      </w:pPr>
      <w:r>
        <w:rPr>
          <w:rFonts w:ascii="黑体" w:eastAsia="黑体" w:hAnsi="黑体" w:hint="eastAsia"/>
          <w:sz w:val="32"/>
          <w:szCs w:val="32"/>
        </w:rPr>
        <w:t>一、部门职责、机构设置等基本情况</w:t>
      </w:r>
    </w:p>
    <w:p w:rsidR="00E555A0" w:rsidRPr="00116DD1" w:rsidRDefault="00E555A0" w:rsidP="002E2D02">
      <w:pPr>
        <w:spacing w:line="580" w:lineRule="atLeast"/>
        <w:ind w:firstLineChars="200" w:firstLine="643"/>
        <w:rPr>
          <w:rFonts w:ascii="楷体" w:eastAsia="楷体" w:hAnsi="楷体"/>
          <w:b/>
          <w:sz w:val="32"/>
          <w:szCs w:val="32"/>
        </w:rPr>
      </w:pPr>
      <w:r w:rsidRPr="00116DD1">
        <w:rPr>
          <w:rFonts w:ascii="楷体" w:eastAsia="楷体" w:hAnsi="楷体" w:hint="eastAsia"/>
          <w:b/>
          <w:sz w:val="32"/>
          <w:szCs w:val="32"/>
        </w:rPr>
        <w:t>部门职责：</w:t>
      </w:r>
    </w:p>
    <w:p w:rsidR="00E555A0" w:rsidRPr="003D39DD" w:rsidRDefault="00E555A0" w:rsidP="002E2D02">
      <w:pPr>
        <w:autoSpaceDE w:val="0"/>
        <w:autoSpaceDN w:val="0"/>
        <w:adjustRightInd w:val="0"/>
        <w:ind w:firstLineChars="200" w:firstLine="640"/>
        <w:jc w:val="left"/>
        <w:rPr>
          <w:rFonts w:ascii="仿宋" w:eastAsia="仿宋" w:hAnsi="仿宋" w:cs="仿宋"/>
          <w:sz w:val="32"/>
          <w:szCs w:val="32"/>
        </w:rPr>
      </w:pPr>
      <w:r w:rsidRPr="003D39DD">
        <w:rPr>
          <w:rFonts w:ascii="仿宋" w:eastAsia="仿宋" w:hAnsi="仿宋" w:cs="仿宋" w:hint="eastAsia"/>
          <w:sz w:val="32"/>
          <w:szCs w:val="32"/>
        </w:rPr>
        <w:t>中共霸州市委、霸州市人民政府信访局是代表市委、市政府处理人民群众来信，接待群众来访事项，保障信访渠道畅通，指导、协调信访工作的综合部门，主要职责是：</w:t>
      </w:r>
    </w:p>
    <w:p w:rsidR="00E555A0" w:rsidRPr="003D39DD" w:rsidRDefault="00E555A0" w:rsidP="002E2D02">
      <w:pPr>
        <w:autoSpaceDE w:val="0"/>
        <w:autoSpaceDN w:val="0"/>
        <w:adjustRightInd w:val="0"/>
        <w:ind w:firstLineChars="200" w:firstLine="640"/>
        <w:jc w:val="left"/>
        <w:rPr>
          <w:rFonts w:ascii="仿宋" w:eastAsia="仿宋" w:hAnsi="仿宋" w:cs="仿宋"/>
          <w:sz w:val="32"/>
          <w:szCs w:val="32"/>
        </w:rPr>
      </w:pPr>
      <w:r w:rsidRPr="003D39DD">
        <w:rPr>
          <w:rFonts w:ascii="仿宋" w:eastAsia="仿宋" w:hAnsi="仿宋" w:cs="仿宋" w:hint="eastAsia"/>
          <w:sz w:val="32"/>
          <w:szCs w:val="32"/>
        </w:rPr>
        <w:t>一、负责处理人民群众给市委、市政府的来信，接待要求当面向市委、市政府领导同志反映意愿的人民群众，办理上级领导机关转来的我市群众信件。</w:t>
      </w:r>
    </w:p>
    <w:p w:rsidR="00E555A0" w:rsidRPr="003D39DD" w:rsidRDefault="00E555A0" w:rsidP="002E2D02">
      <w:pPr>
        <w:autoSpaceDE w:val="0"/>
        <w:autoSpaceDN w:val="0"/>
        <w:adjustRightInd w:val="0"/>
        <w:ind w:firstLineChars="200" w:firstLine="640"/>
        <w:jc w:val="left"/>
        <w:rPr>
          <w:rFonts w:ascii="仿宋" w:eastAsia="仿宋" w:hAnsi="仿宋" w:cs="仿宋"/>
          <w:sz w:val="32"/>
          <w:szCs w:val="32"/>
        </w:rPr>
      </w:pPr>
      <w:r w:rsidRPr="003D39DD">
        <w:rPr>
          <w:rFonts w:ascii="仿宋" w:eastAsia="仿宋" w:hAnsi="仿宋" w:cs="仿宋" w:hint="eastAsia"/>
          <w:sz w:val="32"/>
          <w:szCs w:val="32"/>
        </w:rPr>
        <w:t>二、承办市委、市政府领导同志交办的信访事项，督促检查领导同志有关批示的落实情况，向乡镇区办和市直部门交办信访事项，督促检查重要信访事项的处理和落实。</w:t>
      </w:r>
    </w:p>
    <w:p w:rsidR="00E555A0" w:rsidRPr="003D39DD" w:rsidRDefault="00E555A0" w:rsidP="002E2D02">
      <w:pPr>
        <w:autoSpaceDE w:val="0"/>
        <w:autoSpaceDN w:val="0"/>
        <w:adjustRightInd w:val="0"/>
        <w:ind w:firstLineChars="200" w:firstLine="640"/>
        <w:jc w:val="left"/>
        <w:rPr>
          <w:rFonts w:ascii="仿宋" w:eastAsia="仿宋" w:hAnsi="仿宋" w:cs="仿宋"/>
          <w:sz w:val="32"/>
          <w:szCs w:val="32"/>
        </w:rPr>
      </w:pPr>
      <w:r w:rsidRPr="003D39DD">
        <w:rPr>
          <w:rFonts w:ascii="仿宋" w:eastAsia="仿宋" w:hAnsi="仿宋" w:cs="仿宋" w:hint="eastAsia"/>
          <w:sz w:val="32"/>
          <w:szCs w:val="32"/>
        </w:rPr>
        <w:t>三、协调处理跨乡镇区办、跨部门的重要信访问题，协调处理集体访和异常、突发信访事件，协调乡镇区办和市直部门的信访工作。</w:t>
      </w:r>
    </w:p>
    <w:p w:rsidR="00E555A0" w:rsidRPr="003D39DD" w:rsidRDefault="00E555A0" w:rsidP="002E2D02">
      <w:pPr>
        <w:autoSpaceDE w:val="0"/>
        <w:autoSpaceDN w:val="0"/>
        <w:adjustRightInd w:val="0"/>
        <w:ind w:firstLineChars="200" w:firstLine="640"/>
        <w:jc w:val="left"/>
        <w:rPr>
          <w:rFonts w:ascii="仿宋" w:eastAsia="仿宋" w:hAnsi="仿宋" w:cs="仿宋"/>
          <w:sz w:val="32"/>
          <w:szCs w:val="32"/>
        </w:rPr>
      </w:pPr>
      <w:r w:rsidRPr="003D39DD">
        <w:rPr>
          <w:rFonts w:ascii="仿宋" w:eastAsia="仿宋" w:hAnsi="仿宋" w:cs="仿宋" w:hint="eastAsia"/>
          <w:sz w:val="32"/>
          <w:szCs w:val="32"/>
        </w:rPr>
        <w:t>四、督促和检查指导全市的信访工作，抓好全市信访工作系统基础建设，组织信访干部培训。</w:t>
      </w:r>
    </w:p>
    <w:p w:rsidR="00E555A0" w:rsidRPr="003D39DD" w:rsidRDefault="00E555A0" w:rsidP="002E2D02">
      <w:pPr>
        <w:autoSpaceDE w:val="0"/>
        <w:autoSpaceDN w:val="0"/>
        <w:adjustRightInd w:val="0"/>
        <w:ind w:firstLineChars="200" w:firstLine="640"/>
        <w:jc w:val="left"/>
        <w:rPr>
          <w:rFonts w:ascii="仿宋" w:eastAsia="仿宋" w:hAnsi="仿宋" w:cs="仿宋"/>
          <w:sz w:val="32"/>
          <w:szCs w:val="32"/>
        </w:rPr>
      </w:pPr>
      <w:r w:rsidRPr="003D39DD">
        <w:rPr>
          <w:rFonts w:ascii="仿宋" w:eastAsia="仿宋" w:hAnsi="仿宋" w:cs="仿宋" w:hint="eastAsia"/>
          <w:sz w:val="32"/>
          <w:szCs w:val="32"/>
        </w:rPr>
        <w:t>五、调查研究和综合分析全市的信访形势和信访工作现状，并向市委、市政府提出改进和加强信访工作的意见和建议，总结和推广各乡镇区办、市直各部门信访工作经验，反馈信访信息。</w:t>
      </w:r>
    </w:p>
    <w:p w:rsidR="00E555A0" w:rsidRPr="003D39DD" w:rsidRDefault="00E555A0" w:rsidP="002E2D02">
      <w:pPr>
        <w:autoSpaceDE w:val="0"/>
        <w:autoSpaceDN w:val="0"/>
        <w:adjustRightInd w:val="0"/>
        <w:ind w:firstLineChars="200" w:firstLine="640"/>
        <w:jc w:val="left"/>
        <w:rPr>
          <w:rFonts w:ascii="仿宋" w:eastAsia="仿宋" w:hAnsi="仿宋" w:cs="仿宋"/>
          <w:sz w:val="32"/>
          <w:szCs w:val="32"/>
        </w:rPr>
      </w:pPr>
      <w:r w:rsidRPr="003D39DD">
        <w:rPr>
          <w:rFonts w:ascii="仿宋" w:eastAsia="仿宋" w:hAnsi="仿宋" w:cs="仿宋" w:hint="eastAsia"/>
          <w:sz w:val="32"/>
          <w:szCs w:val="32"/>
        </w:rPr>
        <w:t>六、</w:t>
      </w:r>
      <w:r w:rsidRPr="003D39DD">
        <w:rPr>
          <w:rFonts w:ascii="仿宋" w:eastAsia="仿宋" w:hAnsi="仿宋" w:cs="仿宋"/>
          <w:sz w:val="32"/>
          <w:szCs w:val="32"/>
        </w:rPr>
        <w:t xml:space="preserve"> </w:t>
      </w:r>
      <w:r w:rsidRPr="003D39DD">
        <w:rPr>
          <w:rFonts w:ascii="仿宋" w:eastAsia="仿宋" w:hAnsi="仿宋" w:cs="仿宋" w:hint="eastAsia"/>
          <w:sz w:val="32"/>
          <w:szCs w:val="32"/>
        </w:rPr>
        <w:t>研究提出全市信访工作的思路，拟定信访工作的有关政策、规定；参与组织、协调、指导全市社会治安综合治理和维护社会政治稳定工作，协助保障国家、省、廊坊</w:t>
      </w:r>
      <w:r w:rsidRPr="003D39DD">
        <w:rPr>
          <w:rFonts w:ascii="仿宋" w:eastAsia="仿宋" w:hAnsi="仿宋" w:cs="仿宋"/>
          <w:sz w:val="32"/>
          <w:szCs w:val="32"/>
        </w:rPr>
        <w:t xml:space="preserve"> </w:t>
      </w:r>
      <w:r w:rsidRPr="003D39DD">
        <w:rPr>
          <w:rFonts w:ascii="仿宋" w:eastAsia="仿宋" w:hAnsi="仿宋" w:cs="仿宋" w:hint="eastAsia"/>
          <w:sz w:val="32"/>
          <w:szCs w:val="32"/>
        </w:rPr>
        <w:t>市和本市重大政治活动的顺利进行，参与处理影响社会政治稳定的突发性、群体性事件；负责对乡镇（区、办）党委、政府和市直有关部门信访工作年度责任目标的</w:t>
      </w:r>
      <w:r w:rsidRPr="003D39DD">
        <w:rPr>
          <w:rFonts w:ascii="仿宋" w:eastAsia="仿宋" w:hAnsi="仿宋" w:cs="仿宋"/>
          <w:sz w:val="32"/>
          <w:szCs w:val="32"/>
        </w:rPr>
        <w:t xml:space="preserve"> </w:t>
      </w:r>
      <w:r w:rsidRPr="003D39DD">
        <w:rPr>
          <w:rFonts w:ascii="仿宋" w:eastAsia="仿宋" w:hAnsi="仿宋" w:cs="仿宋" w:hint="eastAsia"/>
          <w:sz w:val="32"/>
          <w:szCs w:val="32"/>
        </w:rPr>
        <w:t>考核，负责对全市社会治安综合治理和维护社会政治稳定年度责任目标中有关信访工作的考核。</w:t>
      </w:r>
    </w:p>
    <w:p w:rsidR="00E555A0" w:rsidRPr="002E2D02" w:rsidRDefault="00E555A0" w:rsidP="002E2D02">
      <w:pPr>
        <w:autoSpaceDE w:val="0"/>
        <w:autoSpaceDN w:val="0"/>
        <w:adjustRightInd w:val="0"/>
        <w:ind w:firstLineChars="200" w:firstLine="640"/>
        <w:jc w:val="left"/>
        <w:rPr>
          <w:rFonts w:ascii="仿宋" w:eastAsia="仿宋" w:hAnsi="仿宋" w:cs="仿宋"/>
          <w:sz w:val="32"/>
          <w:szCs w:val="32"/>
        </w:rPr>
      </w:pPr>
      <w:r w:rsidRPr="003D39DD">
        <w:rPr>
          <w:rFonts w:ascii="仿宋" w:eastAsia="仿宋" w:hAnsi="仿宋" w:cs="仿宋" w:hint="eastAsia"/>
          <w:sz w:val="32"/>
          <w:szCs w:val="32"/>
        </w:rPr>
        <w:t>七、负责市委、市政府及领导同志交办的其他事项。</w:t>
      </w:r>
    </w:p>
    <w:p w:rsidR="00E555A0" w:rsidRPr="00116DD1" w:rsidRDefault="00E555A0" w:rsidP="002E2D02">
      <w:pPr>
        <w:spacing w:line="580" w:lineRule="atLeast"/>
        <w:ind w:firstLineChars="200" w:firstLine="643"/>
        <w:rPr>
          <w:rFonts w:ascii="楷体" w:eastAsia="楷体" w:hAnsi="楷体"/>
          <w:b/>
          <w:sz w:val="32"/>
          <w:szCs w:val="32"/>
        </w:rPr>
      </w:pPr>
      <w:r w:rsidRPr="003D39DD">
        <w:rPr>
          <w:rFonts w:ascii="楷体" w:eastAsia="楷体" w:hAnsi="楷体" w:hint="eastAsia"/>
          <w:b/>
          <w:sz w:val="32"/>
          <w:szCs w:val="32"/>
        </w:rPr>
        <w:t>机构设置</w:t>
      </w:r>
      <w:r w:rsidRPr="00116DD1">
        <w:rPr>
          <w:rFonts w:ascii="楷体" w:eastAsia="楷体" w:hAnsi="楷体" w:hint="eastAsia"/>
          <w:b/>
          <w:sz w:val="32"/>
          <w:szCs w:val="32"/>
        </w:rPr>
        <w:t>：</w:t>
      </w:r>
    </w:p>
    <w:tbl>
      <w:tblPr>
        <w:tblW w:w="0" w:type="auto"/>
        <w:jc w:val="center"/>
        <w:tblCellMar>
          <w:left w:w="0" w:type="dxa"/>
          <w:right w:w="0" w:type="dxa"/>
        </w:tblCellMar>
        <w:tblLook w:val="0000"/>
      </w:tblPr>
      <w:tblGrid>
        <w:gridCol w:w="3138"/>
        <w:gridCol w:w="2265"/>
        <w:gridCol w:w="2265"/>
        <w:gridCol w:w="3877"/>
      </w:tblGrid>
      <w:tr w:rsidR="00E555A0" w:rsidRPr="003D39DD" w:rsidTr="002E2D02">
        <w:trPr>
          <w:jc w:val="center"/>
        </w:trPr>
        <w:tc>
          <w:tcPr>
            <w:tcW w:w="3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55A0" w:rsidRPr="00E41A54" w:rsidRDefault="00E555A0" w:rsidP="002E2D02">
            <w:pPr>
              <w:autoSpaceDE w:val="0"/>
              <w:autoSpaceDN w:val="0"/>
              <w:adjustRightInd w:val="0"/>
              <w:ind w:firstLineChars="200" w:firstLine="480"/>
              <w:jc w:val="center"/>
              <w:rPr>
                <w:rFonts w:ascii="仿宋_GB2312" w:eastAsia="仿宋_GB2312" w:hAnsi="楷体"/>
                <w:sz w:val="24"/>
                <w:szCs w:val="24"/>
              </w:rPr>
            </w:pPr>
            <w:r w:rsidRPr="00E41A54">
              <w:rPr>
                <w:rFonts w:ascii="仿宋_GB2312" w:eastAsia="仿宋_GB2312" w:hAnsi="楷体" w:hint="eastAsia"/>
                <w:sz w:val="24"/>
                <w:szCs w:val="24"/>
              </w:rPr>
              <w:t>单位名称</w:t>
            </w:r>
          </w:p>
        </w:tc>
        <w:tc>
          <w:tcPr>
            <w:tcW w:w="2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55A0" w:rsidRPr="00E41A54" w:rsidRDefault="00E555A0" w:rsidP="002E2D02">
            <w:pPr>
              <w:autoSpaceDE w:val="0"/>
              <w:autoSpaceDN w:val="0"/>
              <w:adjustRightInd w:val="0"/>
              <w:ind w:firstLineChars="98" w:firstLine="235"/>
              <w:jc w:val="center"/>
              <w:rPr>
                <w:rFonts w:ascii="仿宋_GB2312" w:eastAsia="仿宋_GB2312" w:hAnsi="楷体"/>
                <w:sz w:val="24"/>
                <w:szCs w:val="24"/>
              </w:rPr>
            </w:pPr>
            <w:r w:rsidRPr="00E41A54">
              <w:rPr>
                <w:rFonts w:ascii="仿宋_GB2312" w:eastAsia="仿宋_GB2312" w:hAnsi="楷体" w:hint="eastAsia"/>
                <w:sz w:val="24"/>
                <w:szCs w:val="24"/>
              </w:rPr>
              <w:t>单位性质</w:t>
            </w:r>
          </w:p>
        </w:tc>
        <w:tc>
          <w:tcPr>
            <w:tcW w:w="2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55A0" w:rsidRPr="00E41A54" w:rsidRDefault="00E555A0" w:rsidP="002E2D02">
            <w:pPr>
              <w:autoSpaceDE w:val="0"/>
              <w:autoSpaceDN w:val="0"/>
              <w:adjustRightInd w:val="0"/>
              <w:ind w:firstLineChars="98" w:firstLine="235"/>
              <w:jc w:val="center"/>
              <w:rPr>
                <w:rFonts w:ascii="仿宋_GB2312" w:eastAsia="仿宋_GB2312" w:hAnsi="楷体"/>
                <w:sz w:val="24"/>
                <w:szCs w:val="24"/>
              </w:rPr>
            </w:pPr>
            <w:r w:rsidRPr="00E41A54">
              <w:rPr>
                <w:rFonts w:ascii="仿宋_GB2312" w:eastAsia="仿宋_GB2312" w:hAnsi="楷体" w:hint="eastAsia"/>
                <w:sz w:val="24"/>
                <w:szCs w:val="24"/>
              </w:rPr>
              <w:t>单位规格</w:t>
            </w:r>
          </w:p>
        </w:tc>
        <w:tc>
          <w:tcPr>
            <w:tcW w:w="38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55A0" w:rsidRPr="00E41A54" w:rsidRDefault="00E555A0" w:rsidP="002E2D02">
            <w:pPr>
              <w:autoSpaceDE w:val="0"/>
              <w:autoSpaceDN w:val="0"/>
              <w:adjustRightInd w:val="0"/>
              <w:ind w:firstLineChars="200" w:firstLine="480"/>
              <w:jc w:val="center"/>
              <w:rPr>
                <w:rFonts w:ascii="仿宋_GB2312" w:eastAsia="仿宋_GB2312" w:hAnsi="楷体"/>
                <w:sz w:val="24"/>
                <w:szCs w:val="24"/>
              </w:rPr>
            </w:pPr>
            <w:r w:rsidRPr="00E41A54">
              <w:rPr>
                <w:rFonts w:ascii="仿宋_GB2312" w:eastAsia="仿宋_GB2312" w:hAnsi="楷体" w:hint="eastAsia"/>
                <w:sz w:val="24"/>
                <w:szCs w:val="24"/>
              </w:rPr>
              <w:t>经费保障形式</w:t>
            </w:r>
          </w:p>
        </w:tc>
      </w:tr>
      <w:tr w:rsidR="00E555A0" w:rsidRPr="003D39DD" w:rsidTr="002E2D02">
        <w:trPr>
          <w:jc w:val="center"/>
        </w:trPr>
        <w:tc>
          <w:tcPr>
            <w:tcW w:w="31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55A0" w:rsidRPr="00E41A54" w:rsidRDefault="00E555A0" w:rsidP="002E2D02">
            <w:pPr>
              <w:autoSpaceDE w:val="0"/>
              <w:autoSpaceDN w:val="0"/>
              <w:adjustRightInd w:val="0"/>
              <w:ind w:firstLineChars="98" w:firstLine="235"/>
              <w:jc w:val="center"/>
              <w:rPr>
                <w:rFonts w:ascii="仿宋_GB2312" w:eastAsia="仿宋_GB2312" w:hAnsi="楷体"/>
                <w:sz w:val="24"/>
                <w:szCs w:val="24"/>
              </w:rPr>
            </w:pPr>
            <w:r w:rsidRPr="00E41A54">
              <w:rPr>
                <w:rFonts w:ascii="仿宋_GB2312" w:eastAsia="仿宋_GB2312" w:hAnsi="楷体" w:hint="eastAsia"/>
                <w:sz w:val="24"/>
                <w:szCs w:val="24"/>
              </w:rPr>
              <w:t>霸州市信访局</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E555A0" w:rsidRPr="00E41A54" w:rsidRDefault="00E555A0" w:rsidP="002E2D02">
            <w:pPr>
              <w:autoSpaceDE w:val="0"/>
              <w:autoSpaceDN w:val="0"/>
              <w:adjustRightInd w:val="0"/>
              <w:ind w:firstLineChars="200" w:firstLine="480"/>
              <w:jc w:val="center"/>
              <w:rPr>
                <w:rFonts w:ascii="仿宋_GB2312" w:eastAsia="仿宋_GB2312" w:hAnsi="楷体"/>
                <w:sz w:val="24"/>
                <w:szCs w:val="24"/>
              </w:rPr>
            </w:pPr>
            <w:r>
              <w:rPr>
                <w:rFonts w:ascii="仿宋_GB2312" w:eastAsia="仿宋_GB2312" w:hAnsi="楷体" w:hint="eastAsia"/>
                <w:sz w:val="24"/>
                <w:szCs w:val="24"/>
              </w:rPr>
              <w:t>全额</w:t>
            </w:r>
            <w:r w:rsidRPr="00E41A54">
              <w:rPr>
                <w:rFonts w:ascii="仿宋_GB2312" w:eastAsia="仿宋_GB2312" w:hAnsi="楷体" w:hint="eastAsia"/>
                <w:sz w:val="24"/>
                <w:szCs w:val="24"/>
              </w:rPr>
              <w:t>事业</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tcPr>
          <w:p w:rsidR="00E555A0" w:rsidRPr="00E41A54" w:rsidRDefault="00E555A0" w:rsidP="002E2D02">
            <w:pPr>
              <w:autoSpaceDE w:val="0"/>
              <w:autoSpaceDN w:val="0"/>
              <w:adjustRightInd w:val="0"/>
              <w:ind w:firstLineChars="200" w:firstLine="480"/>
              <w:jc w:val="center"/>
              <w:rPr>
                <w:rFonts w:ascii="仿宋_GB2312" w:eastAsia="仿宋_GB2312" w:hAnsi="楷体"/>
                <w:sz w:val="24"/>
                <w:szCs w:val="24"/>
              </w:rPr>
            </w:pPr>
            <w:r w:rsidRPr="00E41A54">
              <w:rPr>
                <w:rFonts w:ascii="仿宋_GB2312" w:eastAsia="仿宋_GB2312" w:hAnsi="楷体" w:hint="eastAsia"/>
                <w:sz w:val="24"/>
                <w:szCs w:val="24"/>
              </w:rPr>
              <w:t>正科级</w:t>
            </w: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tcPr>
          <w:p w:rsidR="00E555A0" w:rsidRPr="00E41A54" w:rsidRDefault="00E555A0" w:rsidP="002E2D02">
            <w:pPr>
              <w:autoSpaceDE w:val="0"/>
              <w:autoSpaceDN w:val="0"/>
              <w:adjustRightInd w:val="0"/>
              <w:ind w:firstLineChars="98" w:firstLine="235"/>
              <w:jc w:val="center"/>
              <w:rPr>
                <w:rFonts w:ascii="仿宋_GB2312" w:eastAsia="仿宋_GB2312" w:hAnsi="楷体"/>
                <w:sz w:val="24"/>
                <w:szCs w:val="24"/>
              </w:rPr>
            </w:pPr>
            <w:r w:rsidRPr="00E41A54">
              <w:rPr>
                <w:rFonts w:ascii="仿宋_GB2312" w:eastAsia="仿宋_GB2312" w:hAnsi="楷体" w:hint="eastAsia"/>
                <w:sz w:val="24"/>
                <w:szCs w:val="24"/>
              </w:rPr>
              <w:t>财政性资金基本保证</w:t>
            </w:r>
          </w:p>
        </w:tc>
      </w:tr>
    </w:tbl>
    <w:p w:rsidR="00E555A0" w:rsidRDefault="00E555A0" w:rsidP="008F1F53">
      <w:pPr>
        <w:spacing w:before="100" w:beforeAutospacing="1" w:after="100" w:afterAutospacing="1" w:line="580" w:lineRule="atLeast"/>
        <w:ind w:firstLine="640"/>
      </w:pPr>
      <w:r>
        <w:rPr>
          <w:rFonts w:ascii="黑体" w:eastAsia="黑体" w:hAnsi="黑体" w:hint="eastAsia"/>
          <w:sz w:val="32"/>
          <w:szCs w:val="32"/>
        </w:rPr>
        <w:t>二、部门预算安排总体情况</w:t>
      </w:r>
    </w:p>
    <w:p w:rsidR="00E555A0" w:rsidRPr="003D39DD" w:rsidRDefault="00E555A0" w:rsidP="002E2D02">
      <w:pPr>
        <w:spacing w:before="100" w:beforeAutospacing="1" w:after="100" w:afterAutospacing="1"/>
        <w:ind w:firstLine="1134"/>
        <w:rPr>
          <w:rFonts w:ascii="仿宋" w:eastAsia="仿宋" w:hAnsi="仿宋"/>
          <w:sz w:val="32"/>
          <w:szCs w:val="32"/>
        </w:rPr>
      </w:pPr>
      <w:r>
        <w:rPr>
          <w:rFonts w:ascii="仿宋" w:eastAsia="仿宋" w:hAnsi="仿宋" w:hint="eastAsia"/>
          <w:sz w:val="32"/>
          <w:szCs w:val="32"/>
        </w:rPr>
        <w:t>按照预算管理有关规定，目前我市</w:t>
      </w:r>
      <w:r w:rsidRPr="003D39DD">
        <w:rPr>
          <w:rFonts w:ascii="仿宋" w:eastAsia="仿宋" w:hAnsi="仿宋" w:hint="eastAsia"/>
          <w:sz w:val="32"/>
          <w:szCs w:val="32"/>
        </w:rPr>
        <w:t>部门预算的编制实行综合预算制度，即全部收入和支出都反映在预算中。</w:t>
      </w:r>
      <w:r w:rsidRPr="003D39DD">
        <w:rPr>
          <w:rFonts w:ascii="仿宋" w:eastAsia="仿宋" w:hAnsi="仿宋"/>
          <w:sz w:val="32"/>
          <w:szCs w:val="32"/>
        </w:rPr>
        <w:br/>
      </w:r>
      <w:r>
        <w:rPr>
          <w:rFonts w:ascii="方正仿宋_GBK" w:eastAsia="方正仿宋_GBK"/>
          <w:sz w:val="32"/>
          <w:szCs w:val="32"/>
        </w:rPr>
        <w:t>  </w:t>
      </w:r>
      <w:r w:rsidRPr="00116DD1">
        <w:rPr>
          <w:rFonts w:ascii="楷体" w:eastAsia="楷体" w:hAnsi="楷体"/>
          <w:b/>
          <w:sz w:val="32"/>
          <w:szCs w:val="32"/>
        </w:rPr>
        <w:t xml:space="preserve">  </w:t>
      </w:r>
      <w:r w:rsidRPr="003D39DD">
        <w:rPr>
          <w:rFonts w:ascii="楷体" w:eastAsia="楷体" w:hAnsi="楷体"/>
          <w:b/>
          <w:sz w:val="32"/>
          <w:szCs w:val="32"/>
        </w:rPr>
        <w:t>1</w:t>
      </w:r>
      <w:r w:rsidRPr="003D39DD">
        <w:rPr>
          <w:rFonts w:ascii="楷体" w:eastAsia="楷体" w:hAnsi="楷体" w:hint="eastAsia"/>
          <w:b/>
          <w:sz w:val="32"/>
          <w:szCs w:val="32"/>
        </w:rPr>
        <w:t>、收入说明</w:t>
      </w:r>
      <w:r w:rsidRPr="00116DD1">
        <w:rPr>
          <w:rFonts w:ascii="楷体" w:eastAsia="楷体" w:hAnsi="楷体" w:hint="eastAsia"/>
          <w:b/>
          <w:sz w:val="32"/>
          <w:szCs w:val="32"/>
        </w:rPr>
        <w:t>：</w:t>
      </w:r>
      <w:r w:rsidRPr="00116DD1">
        <w:rPr>
          <w:rFonts w:ascii="楷体" w:eastAsia="楷体" w:hAnsi="楷体"/>
          <w:b/>
          <w:sz w:val="32"/>
          <w:szCs w:val="32"/>
        </w:rPr>
        <w:br/>
      </w:r>
      <w:r>
        <w:rPr>
          <w:rFonts w:ascii="仿宋" w:eastAsia="仿宋" w:hAnsi="仿宋"/>
          <w:sz w:val="32"/>
          <w:szCs w:val="32"/>
        </w:rPr>
        <w:t xml:space="preserve">    </w:t>
      </w:r>
      <w:r>
        <w:rPr>
          <w:rFonts w:ascii="仿宋" w:eastAsia="仿宋" w:hAnsi="仿宋" w:hint="eastAsia"/>
          <w:sz w:val="32"/>
          <w:szCs w:val="32"/>
        </w:rPr>
        <w:t>反映本部门当年全部收入。</w:t>
      </w:r>
      <w:r w:rsidRPr="003D39DD">
        <w:rPr>
          <w:rFonts w:ascii="仿宋" w:eastAsia="仿宋" w:hAnsi="仿宋"/>
          <w:sz w:val="32"/>
          <w:szCs w:val="32"/>
        </w:rPr>
        <w:t>2017</w:t>
      </w:r>
      <w:r w:rsidRPr="003D39DD">
        <w:rPr>
          <w:rFonts w:ascii="仿宋" w:eastAsia="仿宋" w:hAnsi="仿宋" w:hint="eastAsia"/>
          <w:sz w:val="32"/>
          <w:szCs w:val="32"/>
        </w:rPr>
        <w:t>年预算收入</w:t>
      </w:r>
      <w:r w:rsidRPr="003D39DD">
        <w:rPr>
          <w:rFonts w:ascii="仿宋" w:eastAsia="仿宋" w:hAnsi="仿宋"/>
          <w:sz w:val="32"/>
          <w:szCs w:val="32"/>
        </w:rPr>
        <w:t>549.5</w:t>
      </w:r>
      <w:r w:rsidRPr="003D39DD">
        <w:rPr>
          <w:rFonts w:ascii="仿宋" w:eastAsia="仿宋" w:hAnsi="仿宋" w:hint="eastAsia"/>
          <w:sz w:val="32"/>
          <w:szCs w:val="32"/>
        </w:rPr>
        <w:t>万元，其中：一般公共预算收入</w:t>
      </w:r>
      <w:r w:rsidRPr="003D39DD">
        <w:rPr>
          <w:rFonts w:ascii="仿宋" w:eastAsia="仿宋" w:hAnsi="仿宋"/>
          <w:sz w:val="32"/>
          <w:szCs w:val="32"/>
        </w:rPr>
        <w:t>549.5</w:t>
      </w:r>
      <w:r w:rsidRPr="003D39DD">
        <w:rPr>
          <w:rFonts w:ascii="仿宋" w:eastAsia="仿宋" w:hAnsi="仿宋" w:hint="eastAsia"/>
          <w:sz w:val="32"/>
          <w:szCs w:val="32"/>
        </w:rPr>
        <w:t>万元，政府性基金预算收入</w:t>
      </w:r>
      <w:r w:rsidRPr="003D39DD">
        <w:rPr>
          <w:rFonts w:ascii="仿宋" w:eastAsia="仿宋" w:hAnsi="仿宋"/>
          <w:sz w:val="32"/>
          <w:szCs w:val="32"/>
        </w:rPr>
        <w:t>0</w:t>
      </w:r>
      <w:r w:rsidRPr="003D39DD">
        <w:rPr>
          <w:rFonts w:ascii="仿宋" w:eastAsia="仿宋" w:hAnsi="仿宋" w:hint="eastAsia"/>
          <w:sz w:val="32"/>
          <w:szCs w:val="32"/>
        </w:rPr>
        <w:t>万元，事业收入</w:t>
      </w:r>
      <w:r w:rsidRPr="003D39DD">
        <w:rPr>
          <w:rFonts w:ascii="仿宋" w:eastAsia="仿宋" w:hAnsi="仿宋"/>
          <w:sz w:val="32"/>
          <w:szCs w:val="32"/>
        </w:rPr>
        <w:t>0</w:t>
      </w:r>
      <w:r w:rsidRPr="003D39DD">
        <w:rPr>
          <w:rFonts w:ascii="仿宋" w:eastAsia="仿宋" w:hAnsi="仿宋" w:hint="eastAsia"/>
          <w:sz w:val="32"/>
          <w:szCs w:val="32"/>
        </w:rPr>
        <w:t>万元，经营收入</w:t>
      </w:r>
      <w:r w:rsidRPr="003D39DD">
        <w:rPr>
          <w:rFonts w:ascii="仿宋" w:eastAsia="仿宋" w:hAnsi="仿宋"/>
          <w:sz w:val="32"/>
          <w:szCs w:val="32"/>
        </w:rPr>
        <w:t>0</w:t>
      </w:r>
      <w:r w:rsidRPr="003D39DD">
        <w:rPr>
          <w:rFonts w:ascii="仿宋" w:eastAsia="仿宋" w:hAnsi="仿宋" w:hint="eastAsia"/>
          <w:sz w:val="32"/>
          <w:szCs w:val="32"/>
        </w:rPr>
        <w:t>万元</w:t>
      </w:r>
      <w:r>
        <w:rPr>
          <w:rFonts w:ascii="仿宋" w:eastAsia="仿宋" w:hAnsi="仿宋" w:hint="eastAsia"/>
          <w:sz w:val="32"/>
          <w:szCs w:val="32"/>
        </w:rPr>
        <w:t>，</w:t>
      </w:r>
      <w:r w:rsidRPr="003D39DD">
        <w:rPr>
          <w:rFonts w:ascii="仿宋" w:eastAsia="仿宋" w:hAnsi="仿宋" w:hint="eastAsia"/>
          <w:sz w:val="32"/>
          <w:szCs w:val="32"/>
        </w:rPr>
        <w:t>附属单位上缴收入</w:t>
      </w:r>
      <w:r w:rsidRPr="003D39DD">
        <w:rPr>
          <w:rFonts w:ascii="仿宋" w:eastAsia="仿宋" w:hAnsi="仿宋"/>
          <w:sz w:val="32"/>
          <w:szCs w:val="32"/>
        </w:rPr>
        <w:t>0</w:t>
      </w:r>
      <w:r w:rsidRPr="003D39DD">
        <w:rPr>
          <w:rFonts w:ascii="仿宋" w:eastAsia="仿宋" w:hAnsi="仿宋" w:hint="eastAsia"/>
          <w:sz w:val="32"/>
          <w:szCs w:val="32"/>
        </w:rPr>
        <w:t>万元，其他收入</w:t>
      </w:r>
      <w:r w:rsidRPr="003D39DD">
        <w:rPr>
          <w:rFonts w:ascii="仿宋" w:eastAsia="仿宋" w:hAnsi="仿宋"/>
          <w:sz w:val="32"/>
          <w:szCs w:val="32"/>
        </w:rPr>
        <w:t>0</w:t>
      </w:r>
      <w:r w:rsidRPr="003D39DD">
        <w:rPr>
          <w:rFonts w:ascii="仿宋" w:eastAsia="仿宋" w:hAnsi="仿宋" w:hint="eastAsia"/>
          <w:sz w:val="32"/>
          <w:szCs w:val="32"/>
        </w:rPr>
        <w:t>万元。</w:t>
      </w:r>
      <w:r w:rsidRPr="003D39DD">
        <w:rPr>
          <w:rFonts w:ascii="仿宋" w:eastAsia="仿宋" w:hAnsi="仿宋"/>
          <w:sz w:val="32"/>
          <w:szCs w:val="32"/>
        </w:rPr>
        <w:t xml:space="preserve"> </w:t>
      </w:r>
    </w:p>
    <w:p w:rsidR="00E555A0" w:rsidRPr="00116DD1" w:rsidRDefault="00E555A0" w:rsidP="002E2D02">
      <w:pPr>
        <w:spacing w:line="580" w:lineRule="atLeast"/>
        <w:ind w:firstLineChars="200" w:firstLine="643"/>
        <w:rPr>
          <w:rFonts w:ascii="楷体" w:eastAsia="楷体" w:hAnsi="楷体"/>
          <w:b/>
          <w:sz w:val="32"/>
          <w:szCs w:val="32"/>
        </w:rPr>
      </w:pPr>
      <w:r w:rsidRPr="003D39DD">
        <w:rPr>
          <w:rFonts w:ascii="楷体" w:eastAsia="楷体" w:hAnsi="楷体"/>
          <w:b/>
          <w:sz w:val="32"/>
          <w:szCs w:val="32"/>
        </w:rPr>
        <w:t>2</w:t>
      </w:r>
      <w:r w:rsidRPr="003D39DD">
        <w:rPr>
          <w:rFonts w:ascii="楷体" w:eastAsia="楷体" w:hAnsi="楷体" w:hint="eastAsia"/>
          <w:b/>
          <w:sz w:val="32"/>
          <w:szCs w:val="32"/>
        </w:rPr>
        <w:t>、支出说明：</w:t>
      </w:r>
    </w:p>
    <w:p w:rsidR="00E555A0" w:rsidRDefault="00E555A0" w:rsidP="002E2D02">
      <w:pPr>
        <w:spacing w:line="560" w:lineRule="exact"/>
        <w:ind w:firstLineChars="200" w:firstLine="640"/>
        <w:rPr>
          <w:rFonts w:ascii="仿宋" w:eastAsia="仿宋" w:hAnsi="仿宋"/>
          <w:sz w:val="32"/>
          <w:szCs w:val="32"/>
        </w:rPr>
      </w:pPr>
      <w:r w:rsidRPr="003D39DD">
        <w:rPr>
          <w:rFonts w:ascii="仿宋" w:eastAsia="仿宋" w:hAnsi="仿宋" w:hint="eastAsia"/>
          <w:sz w:val="32"/>
          <w:szCs w:val="32"/>
        </w:rPr>
        <w:t>收支预算总表支出栏、基本支出表、项目支出表按经济分类和支出功能分类科目编制，反映</w:t>
      </w:r>
      <w:r w:rsidRPr="003D39DD">
        <w:rPr>
          <w:rFonts w:ascii="仿宋" w:eastAsia="仿宋" w:hAnsi="仿宋"/>
          <w:sz w:val="32"/>
          <w:szCs w:val="32"/>
        </w:rPr>
        <w:t>2017</w:t>
      </w:r>
      <w:r w:rsidRPr="003D39DD">
        <w:rPr>
          <w:rFonts w:ascii="仿宋" w:eastAsia="仿宋" w:hAnsi="仿宋" w:hint="eastAsia"/>
          <w:sz w:val="32"/>
          <w:szCs w:val="32"/>
        </w:rPr>
        <w:t>年度部门预算中支出预算的总体情况。</w:t>
      </w:r>
      <w:r w:rsidRPr="003D39DD">
        <w:rPr>
          <w:rFonts w:ascii="仿宋" w:eastAsia="仿宋" w:hAnsi="仿宋"/>
          <w:sz w:val="32"/>
          <w:szCs w:val="32"/>
        </w:rPr>
        <w:t>2017</w:t>
      </w:r>
      <w:r w:rsidRPr="003D39DD">
        <w:rPr>
          <w:rFonts w:ascii="仿宋" w:eastAsia="仿宋" w:hAnsi="仿宋" w:hint="eastAsia"/>
          <w:sz w:val="32"/>
          <w:szCs w:val="32"/>
        </w:rPr>
        <w:t>年支出预算</w:t>
      </w:r>
      <w:r w:rsidRPr="003D39DD">
        <w:rPr>
          <w:rFonts w:ascii="仿宋" w:eastAsia="仿宋" w:hAnsi="仿宋"/>
          <w:sz w:val="32"/>
          <w:szCs w:val="32"/>
        </w:rPr>
        <w:t>549.5</w:t>
      </w:r>
      <w:r w:rsidRPr="003D39DD">
        <w:rPr>
          <w:rFonts w:ascii="仿宋" w:eastAsia="仿宋" w:hAnsi="仿宋" w:hint="eastAsia"/>
          <w:sz w:val="32"/>
          <w:szCs w:val="32"/>
        </w:rPr>
        <w:t>万元，其中基本支出</w:t>
      </w:r>
      <w:r w:rsidRPr="003D39DD">
        <w:rPr>
          <w:rFonts w:ascii="仿宋" w:eastAsia="仿宋" w:hAnsi="仿宋"/>
          <w:sz w:val="32"/>
          <w:szCs w:val="32"/>
        </w:rPr>
        <w:t>292.99</w:t>
      </w:r>
      <w:r w:rsidRPr="003D39DD">
        <w:rPr>
          <w:rFonts w:ascii="仿宋" w:eastAsia="仿宋" w:hAnsi="仿宋" w:hint="eastAsia"/>
          <w:sz w:val="32"/>
          <w:szCs w:val="32"/>
        </w:rPr>
        <w:t>万元，包括人员经费和日常公用经费；项目支出</w:t>
      </w:r>
      <w:r w:rsidRPr="003D39DD">
        <w:rPr>
          <w:rFonts w:ascii="仿宋" w:eastAsia="仿宋" w:hAnsi="仿宋"/>
          <w:sz w:val="32"/>
          <w:szCs w:val="32"/>
        </w:rPr>
        <w:t>256.51</w:t>
      </w:r>
      <w:r w:rsidRPr="003D39DD">
        <w:rPr>
          <w:rFonts w:ascii="仿宋" w:eastAsia="仿宋" w:hAnsi="仿宋" w:hint="eastAsia"/>
          <w:sz w:val="32"/>
          <w:szCs w:val="32"/>
        </w:rPr>
        <w:t>万元</w:t>
      </w:r>
      <w:r>
        <w:rPr>
          <w:rFonts w:ascii="仿宋" w:eastAsia="仿宋" w:hAnsi="仿宋" w:hint="eastAsia"/>
          <w:sz w:val="32"/>
          <w:szCs w:val="32"/>
        </w:rPr>
        <w:t>，包括本级支出和对下补助支出，主要为维稳经费、信访业务费等。</w:t>
      </w:r>
    </w:p>
    <w:p w:rsidR="00E555A0" w:rsidRPr="003D39DD" w:rsidRDefault="00E555A0" w:rsidP="002E2D02">
      <w:pPr>
        <w:spacing w:line="560" w:lineRule="exact"/>
        <w:ind w:firstLineChars="200" w:firstLine="643"/>
        <w:rPr>
          <w:rFonts w:ascii="仿宋" w:eastAsia="仿宋" w:hAnsi="仿宋"/>
          <w:sz w:val="32"/>
          <w:szCs w:val="32"/>
        </w:rPr>
      </w:pPr>
      <w:r w:rsidRPr="003D39DD">
        <w:rPr>
          <w:rFonts w:ascii="楷体" w:eastAsia="楷体" w:hAnsi="楷体"/>
          <w:b/>
          <w:sz w:val="32"/>
          <w:szCs w:val="32"/>
        </w:rPr>
        <w:t>3</w:t>
      </w:r>
      <w:r w:rsidRPr="003D39DD">
        <w:rPr>
          <w:rFonts w:ascii="楷体" w:eastAsia="楷体" w:hAnsi="楷体" w:hint="eastAsia"/>
          <w:b/>
          <w:sz w:val="32"/>
          <w:szCs w:val="32"/>
        </w:rPr>
        <w:t>、比上年增减情况：</w:t>
      </w:r>
      <w:r w:rsidRPr="003D39DD">
        <w:rPr>
          <w:rFonts w:ascii="楷体" w:eastAsia="楷体" w:hAnsi="楷体"/>
          <w:b/>
          <w:sz w:val="32"/>
          <w:szCs w:val="32"/>
        </w:rPr>
        <w:br/>
      </w:r>
      <w:r>
        <w:rPr>
          <w:rFonts w:ascii="宋体" w:cs="宋体"/>
          <w:kern w:val="0"/>
          <w:sz w:val="32"/>
          <w:szCs w:val="32"/>
        </w:rPr>
        <w:t>  </w:t>
      </w:r>
      <w:r w:rsidRPr="003D39DD">
        <w:rPr>
          <w:rFonts w:ascii="仿宋" w:eastAsia="仿宋" w:hAnsi="仿宋"/>
          <w:sz w:val="32"/>
          <w:szCs w:val="32"/>
        </w:rPr>
        <w:t xml:space="preserve"> </w:t>
      </w:r>
      <w:r>
        <w:rPr>
          <w:rFonts w:ascii="仿宋" w:eastAsia="仿宋" w:hAnsi="仿宋"/>
          <w:sz w:val="32"/>
          <w:szCs w:val="32"/>
        </w:rPr>
        <w:t xml:space="preserve">  </w:t>
      </w:r>
      <w:r w:rsidRPr="003D39DD">
        <w:rPr>
          <w:rFonts w:ascii="仿宋" w:eastAsia="仿宋" w:hAnsi="仿宋"/>
          <w:sz w:val="32"/>
          <w:szCs w:val="32"/>
        </w:rPr>
        <w:t>2017</w:t>
      </w:r>
      <w:r w:rsidRPr="003D39DD">
        <w:rPr>
          <w:rFonts w:ascii="仿宋" w:eastAsia="仿宋" w:hAnsi="仿宋" w:hint="eastAsia"/>
          <w:sz w:val="32"/>
          <w:szCs w:val="32"/>
        </w:rPr>
        <w:t>年部门预算安排</w:t>
      </w:r>
      <w:r w:rsidRPr="003D39DD">
        <w:rPr>
          <w:rFonts w:ascii="仿宋" w:eastAsia="仿宋" w:hAnsi="仿宋"/>
          <w:sz w:val="32"/>
          <w:szCs w:val="32"/>
        </w:rPr>
        <w:t>549.5</w:t>
      </w:r>
      <w:r w:rsidRPr="003D39DD">
        <w:rPr>
          <w:rFonts w:ascii="仿宋" w:eastAsia="仿宋" w:hAnsi="仿宋" w:hint="eastAsia"/>
          <w:sz w:val="32"/>
          <w:szCs w:val="32"/>
        </w:rPr>
        <w:t>万元，较</w:t>
      </w:r>
      <w:r w:rsidRPr="003D39DD">
        <w:rPr>
          <w:rFonts w:ascii="仿宋" w:eastAsia="仿宋" w:hAnsi="仿宋"/>
          <w:sz w:val="32"/>
          <w:szCs w:val="32"/>
        </w:rPr>
        <w:t>2016</w:t>
      </w:r>
      <w:r w:rsidRPr="003D39DD">
        <w:rPr>
          <w:rFonts w:ascii="仿宋" w:eastAsia="仿宋" w:hAnsi="仿宋" w:hint="eastAsia"/>
          <w:sz w:val="32"/>
          <w:szCs w:val="32"/>
        </w:rPr>
        <w:t>年减少</w:t>
      </w:r>
      <w:r w:rsidRPr="003D39DD">
        <w:rPr>
          <w:rFonts w:ascii="仿宋" w:eastAsia="仿宋" w:hAnsi="仿宋"/>
          <w:sz w:val="32"/>
          <w:szCs w:val="32"/>
        </w:rPr>
        <w:t>243</w:t>
      </w:r>
      <w:r>
        <w:rPr>
          <w:rFonts w:ascii="仿宋" w:eastAsia="仿宋" w:hAnsi="仿宋" w:hint="eastAsia"/>
          <w:sz w:val="32"/>
          <w:szCs w:val="32"/>
        </w:rPr>
        <w:t>万元，其中：基本支出增加</w:t>
      </w:r>
      <w:r w:rsidRPr="003D39DD">
        <w:rPr>
          <w:rFonts w:ascii="仿宋" w:eastAsia="仿宋" w:hAnsi="仿宋"/>
          <w:sz w:val="32"/>
          <w:szCs w:val="32"/>
        </w:rPr>
        <w:t>103</w:t>
      </w:r>
      <w:r w:rsidRPr="003D39DD">
        <w:rPr>
          <w:rFonts w:ascii="仿宋" w:eastAsia="仿宋" w:hAnsi="仿宋" w:hint="eastAsia"/>
          <w:sz w:val="32"/>
          <w:szCs w:val="32"/>
        </w:rPr>
        <w:t>万元，主要是因为主要是因为人员经费增长；项目支出减少</w:t>
      </w:r>
      <w:r w:rsidRPr="003D39DD">
        <w:rPr>
          <w:rFonts w:ascii="仿宋" w:eastAsia="仿宋" w:hAnsi="仿宋"/>
          <w:sz w:val="32"/>
          <w:szCs w:val="32"/>
        </w:rPr>
        <w:t>345</w:t>
      </w:r>
      <w:r w:rsidRPr="003D39DD">
        <w:rPr>
          <w:rFonts w:ascii="仿宋" w:eastAsia="仿宋" w:hAnsi="仿宋" w:hint="eastAsia"/>
          <w:sz w:val="32"/>
          <w:szCs w:val="32"/>
        </w:rPr>
        <w:t>万元，主要是因为群众中心建设为一次性支出。</w:t>
      </w:r>
    </w:p>
    <w:p w:rsidR="00E555A0" w:rsidRDefault="00E555A0" w:rsidP="008F1F53">
      <w:pPr>
        <w:spacing w:line="580" w:lineRule="atLeast"/>
        <w:ind w:firstLine="640"/>
      </w:pPr>
      <w:r>
        <w:rPr>
          <w:rFonts w:ascii="黑体" w:eastAsia="黑体" w:hAnsi="黑体" w:hint="eastAsia"/>
          <w:sz w:val="32"/>
          <w:szCs w:val="32"/>
        </w:rPr>
        <w:t>三、机关运行经费安排情况</w:t>
      </w:r>
    </w:p>
    <w:p w:rsidR="00E555A0" w:rsidRPr="003D39DD" w:rsidRDefault="00E555A0" w:rsidP="002E2D02">
      <w:pPr>
        <w:autoSpaceDE w:val="0"/>
        <w:autoSpaceDN w:val="0"/>
        <w:adjustRightInd w:val="0"/>
        <w:spacing w:line="560" w:lineRule="exact"/>
        <w:ind w:firstLineChars="200" w:firstLine="640"/>
        <w:rPr>
          <w:rFonts w:ascii="仿宋" w:eastAsia="仿宋" w:hAnsi="仿宋"/>
          <w:sz w:val="32"/>
          <w:szCs w:val="32"/>
        </w:rPr>
      </w:pPr>
      <w:r w:rsidRPr="003D39DD">
        <w:rPr>
          <w:rFonts w:ascii="仿宋" w:eastAsia="仿宋" w:hAnsi="仿宋" w:hint="eastAsia"/>
          <w:sz w:val="32"/>
          <w:szCs w:val="32"/>
        </w:rPr>
        <w:t>本部门</w:t>
      </w:r>
      <w:r w:rsidRPr="003D39DD">
        <w:rPr>
          <w:rFonts w:ascii="仿宋" w:eastAsia="仿宋" w:hAnsi="仿宋"/>
          <w:sz w:val="32"/>
          <w:szCs w:val="32"/>
        </w:rPr>
        <w:t>2017</w:t>
      </w:r>
      <w:r w:rsidRPr="003D39DD">
        <w:rPr>
          <w:rFonts w:ascii="仿宋" w:eastAsia="仿宋" w:hAnsi="仿宋" w:hint="eastAsia"/>
          <w:sz w:val="32"/>
          <w:szCs w:val="32"/>
        </w:rPr>
        <w:t>年度机关运行经费（日常公用）预算合计</w:t>
      </w:r>
      <w:r w:rsidRPr="003D39DD">
        <w:rPr>
          <w:rFonts w:ascii="仿宋" w:eastAsia="仿宋" w:hAnsi="仿宋"/>
          <w:sz w:val="32"/>
          <w:szCs w:val="32"/>
        </w:rPr>
        <w:t>292.99</w:t>
      </w:r>
      <w:r w:rsidRPr="003D39DD">
        <w:rPr>
          <w:rFonts w:ascii="仿宋" w:eastAsia="仿宋" w:hAnsi="仿宋" w:hint="eastAsia"/>
          <w:sz w:val="32"/>
          <w:szCs w:val="32"/>
        </w:rPr>
        <w:t>万元，主要用于：办公区的日常维修、办公用房水电费、办公用房取暖费、办公用房物业管理费等日常运行支出。</w:t>
      </w:r>
    </w:p>
    <w:p w:rsidR="00E555A0" w:rsidRDefault="00E555A0" w:rsidP="002E2D02">
      <w:pPr>
        <w:autoSpaceDE w:val="0"/>
        <w:autoSpaceDN w:val="0"/>
        <w:adjustRightInd w:val="0"/>
        <w:spacing w:line="560" w:lineRule="exact"/>
        <w:ind w:firstLineChars="200" w:firstLine="640"/>
      </w:pPr>
      <w:r>
        <w:rPr>
          <w:rFonts w:ascii="黑体" w:eastAsia="黑体" w:hAnsi="黑体" w:hint="eastAsia"/>
          <w:sz w:val="32"/>
          <w:szCs w:val="32"/>
        </w:rPr>
        <w:t>四、财政拨款“三公”经费预算情况及变化原因</w:t>
      </w:r>
      <w:r>
        <w:rPr>
          <w:rFonts w:ascii="黑体" w:eastAsia="黑体" w:hAnsi="黑体"/>
          <w:sz w:val="32"/>
          <w:szCs w:val="32"/>
        </w:rPr>
        <w:tab/>
      </w:r>
    </w:p>
    <w:p w:rsidR="00E555A0" w:rsidRPr="003D39DD" w:rsidRDefault="00E555A0" w:rsidP="002E2D02">
      <w:pPr>
        <w:spacing w:line="560" w:lineRule="exact"/>
        <w:ind w:firstLineChars="200" w:firstLine="640"/>
        <w:rPr>
          <w:rFonts w:ascii="仿宋" w:eastAsia="仿宋" w:hAnsi="仿宋"/>
          <w:sz w:val="32"/>
          <w:szCs w:val="32"/>
        </w:rPr>
      </w:pPr>
      <w:r w:rsidRPr="003D39DD">
        <w:rPr>
          <w:rFonts w:ascii="仿宋" w:eastAsia="仿宋" w:hAnsi="仿宋"/>
          <w:sz w:val="32"/>
          <w:szCs w:val="32"/>
        </w:rPr>
        <w:t>2017</w:t>
      </w:r>
      <w:r w:rsidRPr="003D39DD">
        <w:rPr>
          <w:rFonts w:ascii="仿宋" w:eastAsia="仿宋" w:hAnsi="仿宋" w:hint="eastAsia"/>
          <w:sz w:val="32"/>
          <w:szCs w:val="32"/>
        </w:rPr>
        <w:t>年我部门“三公”经费预算安排</w:t>
      </w:r>
      <w:r w:rsidRPr="003D39DD">
        <w:rPr>
          <w:rFonts w:ascii="仿宋" w:eastAsia="仿宋" w:hAnsi="仿宋"/>
          <w:sz w:val="32"/>
          <w:szCs w:val="32"/>
        </w:rPr>
        <w:t>3.27</w:t>
      </w:r>
      <w:r w:rsidRPr="003D39DD">
        <w:rPr>
          <w:rFonts w:ascii="仿宋" w:eastAsia="仿宋" w:hAnsi="仿宋" w:hint="eastAsia"/>
          <w:sz w:val="32"/>
          <w:szCs w:val="32"/>
        </w:rPr>
        <w:t>万元。其中：因公出国（境）费安排</w:t>
      </w:r>
      <w:r w:rsidRPr="003D39DD">
        <w:rPr>
          <w:rFonts w:ascii="仿宋" w:eastAsia="仿宋" w:hAnsi="仿宋"/>
          <w:sz w:val="32"/>
          <w:szCs w:val="32"/>
        </w:rPr>
        <w:t>0</w:t>
      </w:r>
      <w:r w:rsidRPr="003D39DD">
        <w:rPr>
          <w:rFonts w:ascii="仿宋" w:eastAsia="仿宋" w:hAnsi="仿宋" w:hint="eastAsia"/>
          <w:sz w:val="32"/>
          <w:szCs w:val="32"/>
        </w:rPr>
        <w:t>万元，公务用车购置及运行费安排</w:t>
      </w:r>
      <w:r w:rsidRPr="003D39DD">
        <w:rPr>
          <w:rFonts w:ascii="仿宋" w:eastAsia="仿宋" w:hAnsi="仿宋"/>
          <w:sz w:val="32"/>
          <w:szCs w:val="32"/>
        </w:rPr>
        <w:t>2.87</w:t>
      </w:r>
      <w:r w:rsidRPr="003D39DD">
        <w:rPr>
          <w:rFonts w:ascii="仿宋" w:eastAsia="仿宋" w:hAnsi="仿宋" w:hint="eastAsia"/>
          <w:sz w:val="32"/>
          <w:szCs w:val="32"/>
        </w:rPr>
        <w:t>万元，（公务用车购置安排</w:t>
      </w:r>
      <w:r w:rsidRPr="003D39DD">
        <w:rPr>
          <w:rFonts w:ascii="仿宋" w:eastAsia="仿宋" w:hAnsi="仿宋"/>
          <w:sz w:val="32"/>
          <w:szCs w:val="32"/>
        </w:rPr>
        <w:t>0</w:t>
      </w:r>
      <w:r w:rsidRPr="003D39DD">
        <w:rPr>
          <w:rFonts w:ascii="仿宋" w:eastAsia="仿宋" w:hAnsi="仿宋" w:hint="eastAsia"/>
          <w:sz w:val="32"/>
          <w:szCs w:val="32"/>
        </w:rPr>
        <w:t>万元，公车运行维护经费安排</w:t>
      </w:r>
      <w:r w:rsidRPr="003D39DD">
        <w:rPr>
          <w:rFonts w:ascii="仿宋" w:eastAsia="仿宋" w:hAnsi="仿宋"/>
          <w:sz w:val="32"/>
          <w:szCs w:val="32"/>
        </w:rPr>
        <w:t>2.87</w:t>
      </w:r>
      <w:r w:rsidRPr="003D39DD">
        <w:rPr>
          <w:rFonts w:ascii="仿宋" w:eastAsia="仿宋" w:hAnsi="仿宋" w:hint="eastAsia"/>
          <w:sz w:val="32"/>
          <w:szCs w:val="32"/>
        </w:rPr>
        <w:t>万元），公务接待费安排</w:t>
      </w:r>
      <w:r w:rsidRPr="003D39DD">
        <w:rPr>
          <w:rFonts w:ascii="仿宋" w:eastAsia="仿宋" w:hAnsi="仿宋"/>
          <w:sz w:val="32"/>
          <w:szCs w:val="32"/>
        </w:rPr>
        <w:t>0.4</w:t>
      </w:r>
      <w:r w:rsidRPr="003D39DD">
        <w:rPr>
          <w:rFonts w:ascii="仿宋" w:eastAsia="仿宋" w:hAnsi="仿宋" w:hint="eastAsia"/>
          <w:sz w:val="32"/>
          <w:szCs w:val="32"/>
        </w:rPr>
        <w:t>万元。与</w:t>
      </w:r>
      <w:r w:rsidRPr="003D39DD">
        <w:rPr>
          <w:rFonts w:ascii="仿宋" w:eastAsia="仿宋" w:hAnsi="仿宋"/>
          <w:sz w:val="32"/>
          <w:szCs w:val="32"/>
        </w:rPr>
        <w:t>2016</w:t>
      </w:r>
      <w:r w:rsidRPr="003D39DD">
        <w:rPr>
          <w:rFonts w:ascii="仿宋" w:eastAsia="仿宋" w:hAnsi="仿宋" w:hint="eastAsia"/>
          <w:sz w:val="32"/>
          <w:szCs w:val="32"/>
        </w:rPr>
        <w:t>年减</w:t>
      </w:r>
      <w:r>
        <w:rPr>
          <w:rFonts w:ascii="仿宋" w:eastAsia="仿宋" w:hAnsi="仿宋" w:hint="eastAsia"/>
          <w:sz w:val="32"/>
          <w:szCs w:val="32"/>
        </w:rPr>
        <w:t>少</w:t>
      </w:r>
      <w:r w:rsidRPr="003D39DD">
        <w:rPr>
          <w:rFonts w:ascii="仿宋" w:eastAsia="仿宋" w:hAnsi="仿宋"/>
          <w:sz w:val="32"/>
          <w:szCs w:val="32"/>
        </w:rPr>
        <w:t>69</w:t>
      </w:r>
      <w:r w:rsidRPr="003D39DD">
        <w:rPr>
          <w:rFonts w:ascii="仿宋" w:eastAsia="仿宋" w:hAnsi="仿宋" w:hint="eastAsia"/>
          <w:sz w:val="32"/>
          <w:szCs w:val="32"/>
        </w:rPr>
        <w:t>万元，主要原因为公车改革后，我部门厉行节约，严控公车运维支出</w:t>
      </w:r>
      <w:r w:rsidRPr="003D39DD">
        <w:rPr>
          <w:rFonts w:ascii="仿宋" w:eastAsia="仿宋" w:hAnsi="仿宋"/>
          <w:sz w:val="32"/>
          <w:szCs w:val="32"/>
        </w:rPr>
        <w:t xml:space="preserve"> </w:t>
      </w:r>
      <w:r w:rsidRPr="003D39DD">
        <w:rPr>
          <w:rFonts w:ascii="仿宋" w:eastAsia="仿宋" w:hAnsi="仿宋" w:hint="eastAsia"/>
          <w:sz w:val="32"/>
          <w:szCs w:val="32"/>
        </w:rPr>
        <w:t>。</w:t>
      </w:r>
    </w:p>
    <w:p w:rsidR="00E555A0" w:rsidRPr="003D39DD" w:rsidRDefault="00E555A0" w:rsidP="002E2D02">
      <w:pPr>
        <w:spacing w:line="560" w:lineRule="exact"/>
        <w:ind w:firstLineChars="200" w:firstLine="640"/>
        <w:rPr>
          <w:rFonts w:ascii="黑体" w:eastAsia="黑体" w:hAnsi="黑体"/>
          <w:sz w:val="32"/>
          <w:szCs w:val="32"/>
        </w:rPr>
      </w:pPr>
      <w:r>
        <w:rPr>
          <w:rFonts w:ascii="黑体" w:eastAsia="黑体" w:hAnsi="黑体" w:hint="eastAsia"/>
          <w:sz w:val="32"/>
          <w:szCs w:val="32"/>
        </w:rPr>
        <w:t>五、绩效预算信息</w:t>
      </w:r>
      <w:r w:rsidRPr="003D39DD">
        <w:rPr>
          <w:rFonts w:ascii="黑体" w:eastAsia="黑体" w:hAnsi="黑体"/>
          <w:sz w:val="32"/>
          <w:szCs w:val="32"/>
        </w:rPr>
        <w:t xml:space="preserve"> </w:t>
      </w:r>
    </w:p>
    <w:p w:rsidR="00E555A0" w:rsidRPr="003D39DD" w:rsidRDefault="00E555A0" w:rsidP="002E2D02">
      <w:pPr>
        <w:spacing w:line="580" w:lineRule="atLeast"/>
        <w:ind w:firstLineChars="200" w:firstLine="643"/>
        <w:rPr>
          <w:rFonts w:ascii="楷体" w:eastAsia="楷体" w:hAnsi="楷体"/>
          <w:b/>
          <w:sz w:val="32"/>
          <w:szCs w:val="32"/>
        </w:rPr>
      </w:pPr>
      <w:r w:rsidRPr="003D39DD">
        <w:rPr>
          <w:rFonts w:ascii="楷体" w:eastAsia="楷体" w:hAnsi="楷体" w:hint="eastAsia"/>
          <w:b/>
          <w:sz w:val="32"/>
          <w:szCs w:val="32"/>
        </w:rPr>
        <w:t>总体绩效目标：</w:t>
      </w:r>
    </w:p>
    <w:p w:rsidR="00E555A0" w:rsidRPr="00116DD1" w:rsidRDefault="00E555A0" w:rsidP="002E2D02">
      <w:pPr>
        <w:ind w:firstLineChars="200" w:firstLine="640"/>
        <w:jc w:val="left"/>
        <w:rPr>
          <w:rFonts w:ascii="楷体" w:eastAsia="楷体" w:hAnsi="楷体"/>
          <w:b/>
          <w:sz w:val="32"/>
          <w:szCs w:val="32"/>
        </w:rPr>
      </w:pPr>
      <w:r w:rsidRPr="003D39DD">
        <w:rPr>
          <w:rFonts w:ascii="仿宋" w:eastAsia="仿宋" w:hAnsi="仿宋" w:hint="eastAsia"/>
          <w:sz w:val="32"/>
          <w:szCs w:val="32"/>
        </w:rPr>
        <w:t>建立以奉献精神为宗旨，以提高敬业爱岗精神为核心，以促进干部职工绩效为导向的分配激励机制，调动全体干部职工工作积极性，打破平均主义的分配办法，贯彻按劳分配的原则，实行“公平合理，按劳分配，优劳优酬，责重酬高”的绩效工资分配机制为总体绩效目标。</w:t>
      </w:r>
      <w:r>
        <w:rPr>
          <w:rFonts w:ascii="方正仿宋_GBK" w:eastAsia="方正仿宋_GBK"/>
          <w:b/>
          <w:bCs/>
          <w:sz w:val="32"/>
          <w:szCs w:val="32"/>
        </w:rPr>
        <w:br/>
      </w:r>
      <w:r>
        <w:rPr>
          <w:rFonts w:ascii="方正仿宋_GBK" w:eastAsia="方正仿宋_GBK"/>
          <w:b/>
          <w:bCs/>
          <w:sz w:val="32"/>
          <w:szCs w:val="32"/>
        </w:rPr>
        <w:t>  </w:t>
      </w:r>
      <w:r w:rsidRPr="00116DD1">
        <w:rPr>
          <w:rFonts w:ascii="楷体" w:eastAsia="楷体" w:hAnsi="楷体"/>
          <w:b/>
          <w:sz w:val="32"/>
          <w:szCs w:val="32"/>
        </w:rPr>
        <w:t xml:space="preserve"> </w:t>
      </w:r>
      <w:r w:rsidRPr="005A4AF2">
        <w:rPr>
          <w:rFonts w:ascii="楷体" w:eastAsia="楷体" w:hAnsi="楷体" w:hint="eastAsia"/>
          <w:b/>
          <w:sz w:val="32"/>
          <w:szCs w:val="32"/>
        </w:rPr>
        <w:t>部门职责及工作活动绩效目标指标：</w:t>
      </w:r>
    </w:p>
    <w:p w:rsidR="00E555A0" w:rsidRPr="00CE4A39" w:rsidRDefault="00E555A0" w:rsidP="008F1F53">
      <w:pPr>
        <w:jc w:val="center"/>
        <w:rPr>
          <w:rFonts w:ascii="仿宋" w:eastAsia="仿宋" w:hAnsi="仿宋" w:cs="宋体"/>
          <w:sz w:val="32"/>
          <w:szCs w:val="32"/>
        </w:rPr>
      </w:pPr>
      <w:bookmarkStart w:id="0" w:name="_Toc477279913"/>
      <w:r w:rsidRPr="00CE4A39">
        <w:rPr>
          <w:rFonts w:ascii="仿宋" w:eastAsia="仿宋" w:hAnsi="仿宋" w:cs="宋体" w:hint="eastAsia"/>
          <w:sz w:val="32"/>
          <w:szCs w:val="32"/>
        </w:rPr>
        <w:t>部门职责</w:t>
      </w:r>
      <w:r w:rsidRPr="00CE4A39">
        <w:rPr>
          <w:rFonts w:ascii="仿宋" w:eastAsia="仿宋" w:hAnsi="仿宋"/>
          <w:sz w:val="32"/>
          <w:szCs w:val="32"/>
        </w:rPr>
        <w:t>-</w:t>
      </w:r>
      <w:r w:rsidRPr="00CE4A39">
        <w:rPr>
          <w:rFonts w:ascii="仿宋" w:eastAsia="仿宋" w:hAnsi="仿宋" w:cs="宋体" w:hint="eastAsia"/>
          <w:sz w:val="32"/>
          <w:szCs w:val="32"/>
        </w:rPr>
        <w:t>工作活动绩效目标</w:t>
      </w:r>
      <w:bookmarkEnd w:id="0"/>
    </w:p>
    <w:p w:rsidR="00E555A0" w:rsidRPr="00CE4A39" w:rsidRDefault="00E555A0" w:rsidP="002E2D02">
      <w:pPr>
        <w:jc w:val="left"/>
        <w:rPr>
          <w:rFonts w:ascii="仿宋" w:eastAsia="仿宋" w:hAnsi="仿宋"/>
          <w:szCs w:val="24"/>
        </w:rPr>
      </w:pPr>
      <w:r w:rsidRPr="00CE4A39">
        <w:rPr>
          <w:rFonts w:ascii="仿宋" w:eastAsia="仿宋" w:hAnsi="仿宋" w:cs="宋体"/>
          <w:sz w:val="32"/>
          <w:szCs w:val="32"/>
        </w:rPr>
        <w:t>107</w:t>
      </w:r>
      <w:r w:rsidRPr="00CE4A39">
        <w:rPr>
          <w:rFonts w:ascii="仿宋" w:eastAsia="仿宋" w:hAnsi="仿宋" w:cs="宋体" w:hint="eastAsia"/>
          <w:sz w:val="32"/>
          <w:szCs w:val="32"/>
        </w:rPr>
        <w:t>霸州市信访局</w:t>
      </w:r>
      <w:r w:rsidRPr="00CE4A39">
        <w:rPr>
          <w:rFonts w:ascii="仿宋" w:eastAsia="仿宋" w:hAnsi="仿宋" w:cs="宋体"/>
          <w:sz w:val="32"/>
          <w:szCs w:val="32"/>
        </w:rPr>
        <w:t xml:space="preserve">                                                             </w:t>
      </w:r>
      <w:r w:rsidRPr="00CE4A39">
        <w:rPr>
          <w:rFonts w:ascii="仿宋" w:eastAsia="仿宋" w:hAnsi="仿宋" w:cs="宋体" w:hint="eastAsia"/>
          <w:sz w:val="32"/>
          <w:szCs w:val="32"/>
        </w:rPr>
        <w:t>单位：万元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341"/>
        <w:gridCol w:w="1276"/>
        <w:gridCol w:w="2976"/>
        <w:gridCol w:w="2976"/>
        <w:gridCol w:w="1417"/>
        <w:gridCol w:w="737"/>
        <w:gridCol w:w="737"/>
        <w:gridCol w:w="737"/>
        <w:gridCol w:w="737"/>
      </w:tblGrid>
      <w:tr w:rsidR="00E555A0" w:rsidRPr="00CE4A39" w:rsidTr="002E2D02">
        <w:trPr>
          <w:trHeight w:val="227"/>
          <w:tblHeader/>
          <w:jc w:val="center"/>
        </w:trPr>
        <w:tc>
          <w:tcPr>
            <w:tcW w:w="2341" w:type="dxa"/>
            <w:vMerge w:val="restart"/>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b/>
                <w:bCs/>
              </w:rPr>
              <w:t>职责活动</w:t>
            </w:r>
          </w:p>
        </w:tc>
        <w:tc>
          <w:tcPr>
            <w:tcW w:w="1276" w:type="dxa"/>
            <w:vMerge w:val="restart"/>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b/>
                <w:bCs/>
              </w:rPr>
              <w:t>年度预算数</w:t>
            </w:r>
          </w:p>
        </w:tc>
        <w:tc>
          <w:tcPr>
            <w:tcW w:w="2976" w:type="dxa"/>
            <w:vMerge w:val="restart"/>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b/>
                <w:bCs/>
              </w:rPr>
              <w:t>内容描述</w:t>
            </w:r>
          </w:p>
        </w:tc>
        <w:tc>
          <w:tcPr>
            <w:tcW w:w="2976" w:type="dxa"/>
            <w:vMerge w:val="restart"/>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b/>
                <w:bCs/>
              </w:rPr>
              <w:t>绩效目标</w:t>
            </w:r>
          </w:p>
        </w:tc>
        <w:tc>
          <w:tcPr>
            <w:tcW w:w="1417" w:type="dxa"/>
            <w:vMerge w:val="restart"/>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b/>
                <w:bCs/>
              </w:rPr>
              <w:t>绩效指标</w:t>
            </w:r>
          </w:p>
        </w:tc>
        <w:tc>
          <w:tcPr>
            <w:tcW w:w="2948" w:type="dxa"/>
            <w:gridSpan w:val="4"/>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b/>
                <w:bCs/>
              </w:rPr>
              <w:t>评价标准</w:t>
            </w:r>
          </w:p>
        </w:tc>
      </w:tr>
      <w:tr w:rsidR="00E555A0" w:rsidRPr="00CE4A39" w:rsidTr="002E2D02">
        <w:trPr>
          <w:trHeight w:val="227"/>
          <w:tblHeader/>
          <w:jc w:val="center"/>
        </w:trPr>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b/>
                <w:bCs/>
              </w:rPr>
              <w:t>优</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b/>
                <w:bCs/>
              </w:rPr>
              <w:t>良</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b/>
                <w:bCs/>
              </w:rPr>
              <w:t>中</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b/>
                <w:bCs/>
              </w:rPr>
              <w:t>差</w:t>
            </w:r>
          </w:p>
        </w:tc>
      </w:tr>
      <w:tr w:rsidR="00E555A0" w:rsidRPr="00CE4A39" w:rsidTr="002E2D02">
        <w:trPr>
          <w:trHeight w:val="227"/>
          <w:jc w:val="center"/>
        </w:trPr>
        <w:tc>
          <w:tcPr>
            <w:tcW w:w="2341"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b/>
                <w:bCs/>
              </w:rPr>
              <w:t>信访问</w:t>
            </w:r>
          </w:p>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b/>
                <w:bCs/>
              </w:rPr>
              <w:t>题处理</w:t>
            </w:r>
          </w:p>
        </w:tc>
        <w:tc>
          <w:tcPr>
            <w:tcW w:w="12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rPr>
              <w:t>113.00</w:t>
            </w:r>
          </w:p>
        </w:tc>
        <w:tc>
          <w:tcPr>
            <w:tcW w:w="29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负责正常信访、非访、突发性及群体性事件的办理；提供相关服务保障；协助上级信访局处理越级上访；信访事项督查、复查复核、听证；负责县委县政府交办的其他事项。</w:t>
            </w:r>
          </w:p>
        </w:tc>
        <w:tc>
          <w:tcPr>
            <w:tcW w:w="29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畅通信访渠道，减少信访案件，维护社会和谐稳定。</w:t>
            </w:r>
          </w:p>
        </w:tc>
        <w:tc>
          <w:tcPr>
            <w:tcW w:w="1417"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r>
      <w:tr w:rsidR="00E555A0" w:rsidRPr="00CE4A39" w:rsidTr="002E2D02">
        <w:trPr>
          <w:trHeight w:val="227"/>
          <w:jc w:val="center"/>
        </w:trPr>
        <w:tc>
          <w:tcPr>
            <w:tcW w:w="2341"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b/>
                <w:bCs/>
              </w:rPr>
              <w:t xml:space="preserve">　　信访业务办理</w:t>
            </w:r>
          </w:p>
        </w:tc>
        <w:tc>
          <w:tcPr>
            <w:tcW w:w="1276"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rPr>
              <w:t>63.00</w:t>
            </w:r>
          </w:p>
        </w:tc>
        <w:tc>
          <w:tcPr>
            <w:tcW w:w="2976"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办理人民群众来信、来访、网上信访；协助上级信访局处理越级上访工作。</w:t>
            </w:r>
          </w:p>
        </w:tc>
        <w:tc>
          <w:tcPr>
            <w:tcW w:w="2976"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畅通信访渠道，提高信访事项办理质量和效率。</w:t>
            </w:r>
          </w:p>
        </w:tc>
        <w:tc>
          <w:tcPr>
            <w:tcW w:w="1417"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信访事项受理及时率</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100%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95%</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&lt;90%</w:t>
            </w:r>
          </w:p>
        </w:tc>
      </w:tr>
      <w:tr w:rsidR="00E555A0" w:rsidRPr="00CE4A39" w:rsidTr="002E2D02">
        <w:trPr>
          <w:trHeight w:val="227"/>
          <w:jc w:val="center"/>
        </w:trPr>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1417"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信访事项按期结案率</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100%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95%</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&lt;90%</w:t>
            </w:r>
          </w:p>
        </w:tc>
      </w:tr>
      <w:tr w:rsidR="00E555A0" w:rsidRPr="00CE4A39" w:rsidTr="002E2D02">
        <w:trPr>
          <w:trHeight w:val="227"/>
          <w:jc w:val="center"/>
        </w:trPr>
        <w:tc>
          <w:tcPr>
            <w:tcW w:w="2341"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b/>
                <w:bCs/>
              </w:rPr>
              <w:t xml:space="preserve">　　处置非访、突发性及群体性事件</w:t>
            </w:r>
          </w:p>
        </w:tc>
        <w:tc>
          <w:tcPr>
            <w:tcW w:w="1276"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rPr>
              <w:t> </w:t>
            </w:r>
          </w:p>
        </w:tc>
        <w:tc>
          <w:tcPr>
            <w:tcW w:w="2976"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协助公安机关维护重点区域的正常工作秩序；处置影响社会政治稳定的各类非访、突发性、群体性事件；负责组织协调、稳控劝返、服务保障我县越级非访工作。承办县联席办的日常工作。</w:t>
            </w:r>
          </w:p>
        </w:tc>
        <w:tc>
          <w:tcPr>
            <w:tcW w:w="2976"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妥善处置非正常访，维护社会大局和谐稳定。</w:t>
            </w:r>
          </w:p>
        </w:tc>
        <w:tc>
          <w:tcPr>
            <w:tcW w:w="1417"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信访事项受理及时率</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100%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95%</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&lt;90%</w:t>
            </w:r>
          </w:p>
        </w:tc>
      </w:tr>
      <w:tr w:rsidR="00E555A0" w:rsidRPr="00CE4A39" w:rsidTr="002E2D02">
        <w:trPr>
          <w:trHeight w:val="227"/>
          <w:jc w:val="center"/>
        </w:trPr>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1417"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信访事项按期结案率</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100%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95%</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&lt;90%</w:t>
            </w:r>
          </w:p>
        </w:tc>
      </w:tr>
      <w:tr w:rsidR="00E555A0" w:rsidRPr="00CE4A39" w:rsidTr="002E2D02">
        <w:trPr>
          <w:trHeight w:val="227"/>
          <w:jc w:val="center"/>
        </w:trPr>
        <w:tc>
          <w:tcPr>
            <w:tcW w:w="2341"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b/>
                <w:bCs/>
              </w:rPr>
              <w:t xml:space="preserve">　　信访事项督查、复查复核、听证</w:t>
            </w:r>
          </w:p>
        </w:tc>
        <w:tc>
          <w:tcPr>
            <w:tcW w:w="1276"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rPr>
              <w:t>50.00</w:t>
            </w:r>
          </w:p>
        </w:tc>
        <w:tc>
          <w:tcPr>
            <w:tcW w:w="2976"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负责指导全县信访督查、复查复核、听证等工作，并对相关事项进行审核、上报；负责信访疑难案件的督办。</w:t>
            </w:r>
          </w:p>
        </w:tc>
        <w:tc>
          <w:tcPr>
            <w:tcW w:w="2976" w:type="dxa"/>
            <w:vMerge w:val="restart"/>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推动重要信访事项解决，规范信访事项办理、终结，用好特殊疑难信访问题专项资金。</w:t>
            </w:r>
          </w:p>
        </w:tc>
        <w:tc>
          <w:tcPr>
            <w:tcW w:w="1417"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解决特殊信访疑难问题件数</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8</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7</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6</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&lt;6</w:t>
            </w:r>
          </w:p>
        </w:tc>
      </w:tr>
      <w:tr w:rsidR="00E555A0" w:rsidRPr="00CE4A39" w:rsidTr="002E2D02">
        <w:trPr>
          <w:trHeight w:val="227"/>
          <w:jc w:val="center"/>
        </w:trPr>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0" w:type="auto"/>
            <w:vMerge/>
            <w:vAlign w:val="center"/>
          </w:tcPr>
          <w:p w:rsidR="00E555A0" w:rsidRPr="00CE4A39" w:rsidRDefault="00E555A0">
            <w:pPr>
              <w:widowControl/>
              <w:jc w:val="left"/>
              <w:rPr>
                <w:rFonts w:ascii="仿宋" w:eastAsia="仿宋" w:hAnsi="仿宋"/>
                <w:szCs w:val="24"/>
              </w:rPr>
            </w:pPr>
          </w:p>
        </w:tc>
        <w:tc>
          <w:tcPr>
            <w:tcW w:w="1417"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督办信访案件数</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8</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7</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6</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&lt;6</w:t>
            </w:r>
          </w:p>
        </w:tc>
      </w:tr>
      <w:tr w:rsidR="00E555A0" w:rsidRPr="00CE4A39" w:rsidTr="002E2D02">
        <w:trPr>
          <w:trHeight w:val="227"/>
          <w:jc w:val="center"/>
        </w:trPr>
        <w:tc>
          <w:tcPr>
            <w:tcW w:w="2341"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b/>
                <w:bCs/>
              </w:rPr>
              <w:t>信访事务管理</w:t>
            </w:r>
          </w:p>
        </w:tc>
        <w:tc>
          <w:tcPr>
            <w:tcW w:w="12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rPr>
              <w:t> </w:t>
            </w:r>
          </w:p>
        </w:tc>
        <w:tc>
          <w:tcPr>
            <w:tcW w:w="29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调研提出信访工作对策建议；督促检查和指导全县信访工作；机关日常工作。</w:t>
            </w:r>
          </w:p>
        </w:tc>
        <w:tc>
          <w:tcPr>
            <w:tcW w:w="29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r>
      <w:tr w:rsidR="00E555A0" w:rsidRPr="00CE4A39" w:rsidTr="002E2D02">
        <w:trPr>
          <w:trHeight w:val="227"/>
          <w:jc w:val="center"/>
        </w:trPr>
        <w:tc>
          <w:tcPr>
            <w:tcW w:w="2341"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b/>
                <w:bCs/>
              </w:rPr>
              <w:t xml:space="preserve">　　其他综合事务管理</w:t>
            </w:r>
          </w:p>
        </w:tc>
        <w:tc>
          <w:tcPr>
            <w:tcW w:w="12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rPr>
              <w:t> </w:t>
            </w:r>
          </w:p>
        </w:tc>
        <w:tc>
          <w:tcPr>
            <w:tcW w:w="29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调研提出信访工作对策建议；督促检查和指导全县信访工作；信息化建设与运维管理；机要邮件正常传递；负责局机关行政后勤、资产、物业管理。</w:t>
            </w:r>
          </w:p>
        </w:tc>
        <w:tc>
          <w:tcPr>
            <w:tcW w:w="29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进一步提高信访干部业务能力；吸收可行建议，改进信访工作；提高信访信息化应用水平。保障机要邮件正常传递和信访群众服务中心正常运转；确保会议正常召开。</w:t>
            </w:r>
          </w:p>
        </w:tc>
        <w:tc>
          <w:tcPr>
            <w:tcW w:w="1417"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其他各项综合实务工作完成率</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100%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95%</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&lt;90%</w:t>
            </w:r>
          </w:p>
        </w:tc>
      </w:tr>
      <w:tr w:rsidR="00E555A0" w:rsidRPr="00CE4A39" w:rsidTr="002E2D02">
        <w:trPr>
          <w:trHeight w:val="227"/>
          <w:jc w:val="center"/>
        </w:trPr>
        <w:tc>
          <w:tcPr>
            <w:tcW w:w="2341"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b/>
                <w:bCs/>
              </w:rPr>
              <w:t>群众工作中心</w:t>
            </w:r>
          </w:p>
        </w:tc>
        <w:tc>
          <w:tcPr>
            <w:tcW w:w="12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rPr>
              <w:t>143.51</w:t>
            </w:r>
          </w:p>
        </w:tc>
        <w:tc>
          <w:tcPr>
            <w:tcW w:w="29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负责宣传《信访条例》及有关法律法规，教育引导群众依法反映问题，规范信访秩序。承担市委群众工作委员会交办的其它工作事项。</w:t>
            </w:r>
          </w:p>
        </w:tc>
        <w:tc>
          <w:tcPr>
            <w:tcW w:w="29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调查社情民意，征集群众意见建议，分析群众工作形势，及时向市委提出完善政策和改进群众工作的建议。维护社会和谐稳定。</w:t>
            </w:r>
          </w:p>
        </w:tc>
        <w:tc>
          <w:tcPr>
            <w:tcW w:w="1417"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rPr>
              <w:t> </w:t>
            </w:r>
          </w:p>
        </w:tc>
      </w:tr>
      <w:tr w:rsidR="00E555A0" w:rsidRPr="00CE4A39" w:rsidTr="002E2D02">
        <w:trPr>
          <w:trHeight w:val="227"/>
          <w:jc w:val="center"/>
        </w:trPr>
        <w:tc>
          <w:tcPr>
            <w:tcW w:w="2341"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b/>
                <w:bCs/>
              </w:rPr>
              <w:t xml:space="preserve">　　群众工作</w:t>
            </w:r>
          </w:p>
        </w:tc>
        <w:tc>
          <w:tcPr>
            <w:tcW w:w="12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rPr>
              <w:t>143.51</w:t>
            </w:r>
          </w:p>
        </w:tc>
        <w:tc>
          <w:tcPr>
            <w:tcW w:w="29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负责接待处理群众到市上访，组织市直部门开展联合接访，协调市级领导开展接访约访，下访活动。建立三级调处机制，组织、协调重大复杂矛盾纠纷和信访突出问题，解释解答群众咨询相关问题，做好群众的思想疏导工作。</w:t>
            </w:r>
          </w:p>
        </w:tc>
        <w:tc>
          <w:tcPr>
            <w:tcW w:w="2976"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总结推广群众群众工作方面的先进典型和经验，推动群众工作机制创新。</w:t>
            </w:r>
          </w:p>
        </w:tc>
        <w:tc>
          <w:tcPr>
            <w:tcW w:w="1417" w:type="dxa"/>
            <w:vAlign w:val="center"/>
          </w:tcPr>
          <w:p w:rsidR="00E555A0" w:rsidRPr="00CE4A39" w:rsidRDefault="00E555A0">
            <w:pPr>
              <w:spacing w:line="300" w:lineRule="atLeast"/>
              <w:jc w:val="left"/>
              <w:rPr>
                <w:rFonts w:ascii="仿宋" w:eastAsia="仿宋" w:hAnsi="仿宋"/>
                <w:szCs w:val="24"/>
              </w:rPr>
            </w:pPr>
            <w:r w:rsidRPr="00CE4A39">
              <w:rPr>
                <w:rFonts w:ascii="仿宋" w:eastAsia="仿宋" w:hAnsi="仿宋" w:cs="宋体" w:hint="eastAsia"/>
              </w:rPr>
              <w:t>信访事项按期结案率</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100%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95%</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cs="宋体" w:hint="eastAsia"/>
              </w:rPr>
              <w:t>≥</w:t>
            </w:r>
            <w:r w:rsidRPr="00CE4A39">
              <w:rPr>
                <w:rFonts w:ascii="仿宋" w:eastAsia="仿宋" w:hAnsi="仿宋"/>
              </w:rPr>
              <w:t>90%</w:t>
            </w:r>
          </w:p>
        </w:tc>
        <w:tc>
          <w:tcPr>
            <w:tcW w:w="737" w:type="dxa"/>
            <w:vAlign w:val="center"/>
          </w:tcPr>
          <w:p w:rsidR="00E555A0" w:rsidRPr="00CE4A39" w:rsidRDefault="00E555A0">
            <w:pPr>
              <w:spacing w:line="300" w:lineRule="atLeast"/>
              <w:jc w:val="center"/>
              <w:rPr>
                <w:rFonts w:ascii="仿宋" w:eastAsia="仿宋" w:hAnsi="仿宋"/>
                <w:szCs w:val="24"/>
              </w:rPr>
            </w:pPr>
            <w:r w:rsidRPr="00CE4A39">
              <w:rPr>
                <w:rFonts w:ascii="仿宋" w:eastAsia="仿宋" w:hAnsi="仿宋"/>
              </w:rPr>
              <w:t>&lt;90%</w:t>
            </w:r>
          </w:p>
        </w:tc>
      </w:tr>
    </w:tbl>
    <w:p w:rsidR="00E555A0" w:rsidRPr="005A4AF2" w:rsidRDefault="00E555A0" w:rsidP="002E2D02">
      <w:pPr>
        <w:spacing w:line="580" w:lineRule="atLeast"/>
        <w:ind w:firstLine="640"/>
        <w:rPr>
          <w:rFonts w:ascii="黑体" w:eastAsia="黑体" w:hAnsi="黑体"/>
          <w:sz w:val="32"/>
          <w:szCs w:val="32"/>
        </w:rPr>
      </w:pPr>
      <w:r>
        <w:rPr>
          <w:rFonts w:ascii="黑体" w:eastAsia="黑体" w:hAnsi="黑体" w:hint="eastAsia"/>
          <w:sz w:val="32"/>
          <w:szCs w:val="32"/>
        </w:rPr>
        <w:t>六、政府采购预算情况</w:t>
      </w:r>
    </w:p>
    <w:p w:rsidR="00E555A0" w:rsidRDefault="00E555A0" w:rsidP="00E41A54">
      <w:pPr>
        <w:spacing w:line="580" w:lineRule="atLeast"/>
        <w:ind w:firstLine="640"/>
        <w:rPr>
          <w:rFonts w:ascii="仿宋" w:eastAsia="仿宋" w:hAnsi="仿宋"/>
          <w:sz w:val="32"/>
          <w:szCs w:val="24"/>
        </w:rPr>
      </w:pPr>
      <w:r w:rsidRPr="006D6F71">
        <w:rPr>
          <w:rFonts w:ascii="仿宋" w:eastAsia="仿宋" w:hAnsi="仿宋"/>
          <w:sz w:val="32"/>
          <w:szCs w:val="24"/>
        </w:rPr>
        <w:t>2017</w:t>
      </w:r>
      <w:r w:rsidRPr="006D6F71">
        <w:rPr>
          <w:rFonts w:ascii="仿宋" w:eastAsia="仿宋" w:hAnsi="仿宋" w:hint="eastAsia"/>
          <w:sz w:val="32"/>
          <w:szCs w:val="24"/>
        </w:rPr>
        <w:t>年，我部门未安排政府采购预算。</w:t>
      </w:r>
    </w:p>
    <w:p w:rsidR="00E555A0" w:rsidRDefault="00E555A0" w:rsidP="008F1F53">
      <w:pPr>
        <w:spacing w:line="580" w:lineRule="atLeast"/>
        <w:ind w:firstLine="640"/>
      </w:pPr>
      <w:r>
        <w:rPr>
          <w:rFonts w:ascii="黑体" w:eastAsia="黑体" w:hAnsi="黑体" w:hint="eastAsia"/>
          <w:sz w:val="32"/>
          <w:szCs w:val="32"/>
        </w:rPr>
        <w:t>七、国有资产信息情况</w:t>
      </w:r>
    </w:p>
    <w:p w:rsidR="00E555A0" w:rsidRPr="005A4AF2" w:rsidRDefault="00E555A0" w:rsidP="005A4AF2">
      <w:pPr>
        <w:spacing w:line="580" w:lineRule="atLeast"/>
        <w:ind w:firstLine="640"/>
        <w:rPr>
          <w:rFonts w:ascii="仿宋" w:eastAsia="仿宋" w:hAnsi="仿宋"/>
          <w:sz w:val="32"/>
          <w:szCs w:val="32"/>
        </w:rPr>
      </w:pPr>
      <w:r>
        <w:rPr>
          <w:rFonts w:ascii="仿宋" w:eastAsia="仿宋" w:hAnsi="仿宋" w:hint="eastAsia"/>
          <w:sz w:val="32"/>
          <w:szCs w:val="32"/>
        </w:rPr>
        <w:t>霸州市信访局</w:t>
      </w:r>
      <w:r w:rsidRPr="005A4AF2">
        <w:rPr>
          <w:rFonts w:ascii="仿宋" w:eastAsia="仿宋" w:hAnsi="仿宋" w:hint="eastAsia"/>
          <w:sz w:val="32"/>
          <w:szCs w:val="32"/>
        </w:rPr>
        <w:t>上年末固定资产总额</w:t>
      </w:r>
      <w:r w:rsidRPr="005A4AF2">
        <w:rPr>
          <w:rFonts w:ascii="仿宋" w:eastAsia="仿宋" w:hAnsi="仿宋"/>
          <w:sz w:val="32"/>
          <w:szCs w:val="32"/>
        </w:rPr>
        <w:t>560.6</w:t>
      </w:r>
      <w:r>
        <w:rPr>
          <w:rFonts w:ascii="仿宋" w:eastAsia="仿宋" w:hAnsi="仿宋" w:hint="eastAsia"/>
          <w:sz w:val="32"/>
          <w:szCs w:val="32"/>
        </w:rPr>
        <w:t>万元，</w:t>
      </w:r>
      <w:r w:rsidRPr="00774D5B">
        <w:rPr>
          <w:rFonts w:ascii="仿宋" w:eastAsia="仿宋" w:hAnsi="仿宋" w:hint="eastAsia"/>
          <w:sz w:val="32"/>
          <w:szCs w:val="32"/>
        </w:rPr>
        <w:t>本年度无拟购置固定资产。</w:t>
      </w:r>
      <w:r>
        <w:rPr>
          <w:rFonts w:ascii="仿宋" w:eastAsia="仿宋" w:hAnsi="仿宋" w:hint="eastAsia"/>
          <w:sz w:val="32"/>
          <w:szCs w:val="32"/>
        </w:rPr>
        <w:t>详见下表。</w:t>
      </w:r>
      <w:r w:rsidRPr="005A4AF2">
        <w:rPr>
          <w:rFonts w:ascii="仿宋" w:eastAsia="仿宋" w:hAnsi="仿宋"/>
          <w:sz w:val="32"/>
          <w:szCs w:val="32"/>
        </w:rPr>
        <w:t xml:space="preserve"> </w:t>
      </w:r>
    </w:p>
    <w:tbl>
      <w:tblPr>
        <w:tblW w:w="14265" w:type="dxa"/>
        <w:tblInd w:w="93" w:type="dxa"/>
        <w:tblLook w:val="0000"/>
      </w:tblPr>
      <w:tblGrid>
        <w:gridCol w:w="5528"/>
        <w:gridCol w:w="3338"/>
        <w:gridCol w:w="5399"/>
      </w:tblGrid>
      <w:tr w:rsidR="00E555A0" w:rsidTr="008F1F53">
        <w:trPr>
          <w:trHeight w:val="705"/>
        </w:trPr>
        <w:tc>
          <w:tcPr>
            <w:tcW w:w="13482" w:type="dxa"/>
            <w:gridSpan w:val="3"/>
            <w:noWrap/>
            <w:vAlign w:val="center"/>
          </w:tcPr>
          <w:p w:rsidR="00E555A0" w:rsidRDefault="00E555A0" w:rsidP="008F1F53"/>
          <w:p w:rsidR="00E555A0" w:rsidRPr="002E2D02" w:rsidRDefault="00E555A0">
            <w:pPr>
              <w:jc w:val="center"/>
              <w:rPr>
                <w:rFonts w:ascii="仿宋" w:eastAsia="仿宋" w:hAnsi="仿宋"/>
              </w:rPr>
            </w:pPr>
            <w:r w:rsidRPr="002E2D02">
              <w:rPr>
                <w:rFonts w:ascii="仿宋" w:eastAsia="仿宋" w:hAnsi="仿宋" w:hint="eastAsia"/>
                <w:b/>
                <w:bCs/>
                <w:sz w:val="32"/>
                <w:szCs w:val="32"/>
              </w:rPr>
              <w:t>霸州市部门固定资产占用情况表</w:t>
            </w:r>
          </w:p>
        </w:tc>
      </w:tr>
      <w:tr w:rsidR="00E555A0" w:rsidTr="008F1F53">
        <w:trPr>
          <w:trHeight w:val="510"/>
        </w:trPr>
        <w:tc>
          <w:tcPr>
            <w:tcW w:w="8379" w:type="dxa"/>
            <w:gridSpan w:val="2"/>
            <w:noWrap/>
            <w:vAlign w:val="center"/>
          </w:tcPr>
          <w:p w:rsidR="00E555A0" w:rsidRPr="00CE4A39" w:rsidRDefault="00E555A0">
            <w:pPr>
              <w:jc w:val="left"/>
              <w:rPr>
                <w:rFonts w:ascii="仿宋" w:eastAsia="仿宋" w:hAnsi="仿宋"/>
                <w:sz w:val="22"/>
              </w:rPr>
            </w:pPr>
            <w:r w:rsidRPr="00CE4A39">
              <w:rPr>
                <w:rFonts w:ascii="仿宋" w:eastAsia="仿宋" w:hAnsi="仿宋" w:hint="eastAsia"/>
                <w:sz w:val="22"/>
              </w:rPr>
              <w:t>编制部门：</w:t>
            </w:r>
            <w:r w:rsidRPr="00CE4A39">
              <w:rPr>
                <w:rFonts w:ascii="仿宋" w:eastAsia="仿宋" w:hAnsi="仿宋"/>
                <w:sz w:val="22"/>
              </w:rPr>
              <w:t>107</w:t>
            </w:r>
            <w:r w:rsidRPr="00CE4A39">
              <w:rPr>
                <w:rFonts w:ascii="仿宋" w:eastAsia="仿宋" w:hAnsi="仿宋" w:hint="eastAsia"/>
                <w:sz w:val="22"/>
              </w:rPr>
              <w:t>霸州市信访局</w:t>
            </w:r>
          </w:p>
        </w:tc>
        <w:tc>
          <w:tcPr>
            <w:tcW w:w="5103" w:type="dxa"/>
            <w:noWrap/>
            <w:vAlign w:val="center"/>
          </w:tcPr>
          <w:p w:rsidR="00E555A0" w:rsidRPr="00CE4A39" w:rsidRDefault="00E555A0">
            <w:pPr>
              <w:jc w:val="left"/>
              <w:rPr>
                <w:rFonts w:ascii="仿宋" w:eastAsia="仿宋" w:hAnsi="仿宋"/>
              </w:rPr>
            </w:pPr>
            <w:r w:rsidRPr="00CE4A39">
              <w:rPr>
                <w:rFonts w:ascii="仿宋" w:eastAsia="仿宋" w:hAnsi="仿宋" w:hint="eastAsia"/>
                <w:sz w:val="22"/>
              </w:rPr>
              <w:t>截止时间：</w:t>
            </w:r>
            <w:r w:rsidRPr="00CE4A39">
              <w:rPr>
                <w:rFonts w:ascii="仿宋" w:eastAsia="仿宋" w:hAnsi="仿宋"/>
                <w:sz w:val="22"/>
              </w:rPr>
              <w:t>2016</w:t>
            </w:r>
            <w:r w:rsidRPr="00CE4A39">
              <w:rPr>
                <w:rFonts w:ascii="仿宋" w:eastAsia="仿宋" w:hAnsi="仿宋" w:hint="eastAsia"/>
                <w:sz w:val="22"/>
              </w:rPr>
              <w:t>年</w:t>
            </w:r>
            <w:r w:rsidRPr="00CE4A39">
              <w:rPr>
                <w:rFonts w:ascii="仿宋" w:eastAsia="仿宋" w:hAnsi="仿宋"/>
                <w:sz w:val="22"/>
              </w:rPr>
              <w:t>12</w:t>
            </w:r>
            <w:r w:rsidRPr="00CE4A39">
              <w:rPr>
                <w:rFonts w:ascii="仿宋" w:eastAsia="仿宋" w:hAnsi="仿宋" w:hint="eastAsia"/>
                <w:sz w:val="22"/>
              </w:rPr>
              <w:t>月</w:t>
            </w:r>
            <w:r w:rsidRPr="00CE4A39">
              <w:rPr>
                <w:rFonts w:ascii="仿宋" w:eastAsia="仿宋" w:hAnsi="仿宋"/>
                <w:sz w:val="22"/>
              </w:rPr>
              <w:t>31</w:t>
            </w:r>
            <w:r w:rsidRPr="00CE4A39">
              <w:rPr>
                <w:rFonts w:ascii="仿宋" w:eastAsia="仿宋" w:hAnsi="仿宋" w:hint="eastAsia"/>
                <w:sz w:val="22"/>
              </w:rPr>
              <w:t>日</w:t>
            </w:r>
            <w:r w:rsidRPr="00CE4A39">
              <w:rPr>
                <w:rFonts w:ascii="仿宋" w:eastAsia="仿宋"/>
                <w:sz w:val="22"/>
              </w:rPr>
              <w:t> </w:t>
            </w:r>
            <w:r w:rsidRPr="00CE4A39">
              <w:rPr>
                <w:rFonts w:ascii="仿宋" w:eastAsia="仿宋" w:hAnsi="仿宋"/>
                <w:sz w:val="22"/>
              </w:rPr>
              <w:t xml:space="preserve"> </w:t>
            </w:r>
          </w:p>
        </w:tc>
      </w:tr>
      <w:tr w:rsidR="00E555A0" w:rsidTr="008F1F53">
        <w:trPr>
          <w:trHeight w:val="645"/>
        </w:trPr>
        <w:tc>
          <w:tcPr>
            <w:tcW w:w="5224" w:type="dxa"/>
            <w:tcBorders>
              <w:top w:val="single" w:sz="8" w:space="0" w:color="auto"/>
              <w:left w:val="single" w:sz="8" w:space="0" w:color="auto"/>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hAnsi="仿宋" w:hint="eastAsia"/>
                <w:b/>
                <w:bCs/>
                <w:sz w:val="22"/>
              </w:rPr>
              <w:t>项</w:t>
            </w:r>
            <w:r w:rsidRPr="00CE4A39">
              <w:rPr>
                <w:rFonts w:ascii="仿宋" w:eastAsia="仿宋"/>
                <w:b/>
                <w:bCs/>
                <w:sz w:val="22"/>
              </w:rPr>
              <w:t>  </w:t>
            </w:r>
            <w:r w:rsidRPr="00CE4A39">
              <w:rPr>
                <w:rFonts w:ascii="仿宋" w:eastAsia="仿宋" w:hAnsi="仿宋"/>
                <w:b/>
                <w:bCs/>
                <w:sz w:val="22"/>
              </w:rPr>
              <w:t xml:space="preserve"> </w:t>
            </w:r>
            <w:r w:rsidRPr="00CE4A39">
              <w:rPr>
                <w:rFonts w:ascii="仿宋" w:eastAsia="仿宋" w:hAnsi="仿宋" w:hint="eastAsia"/>
                <w:b/>
                <w:bCs/>
                <w:sz w:val="22"/>
              </w:rPr>
              <w:t>目</w:t>
            </w:r>
          </w:p>
        </w:tc>
        <w:tc>
          <w:tcPr>
            <w:tcW w:w="3155" w:type="dxa"/>
            <w:tcBorders>
              <w:top w:val="single" w:sz="8" w:space="0" w:color="auto"/>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hAnsi="仿宋" w:hint="eastAsia"/>
                <w:b/>
                <w:bCs/>
                <w:sz w:val="22"/>
              </w:rPr>
              <w:t>数量</w:t>
            </w:r>
          </w:p>
        </w:tc>
        <w:tc>
          <w:tcPr>
            <w:tcW w:w="5103" w:type="dxa"/>
            <w:tcBorders>
              <w:top w:val="single" w:sz="8" w:space="0" w:color="auto"/>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hAnsi="仿宋" w:hint="eastAsia"/>
                <w:b/>
                <w:bCs/>
                <w:sz w:val="22"/>
              </w:rPr>
              <w:t>价值（金额单位：万元）</w:t>
            </w:r>
          </w:p>
        </w:tc>
      </w:tr>
      <w:tr w:rsidR="00E555A0" w:rsidTr="008F1F53">
        <w:trPr>
          <w:trHeight w:val="645"/>
        </w:trPr>
        <w:tc>
          <w:tcPr>
            <w:tcW w:w="5224" w:type="dxa"/>
            <w:tcBorders>
              <w:top w:val="nil"/>
              <w:left w:val="single" w:sz="8" w:space="0" w:color="auto"/>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hAnsi="仿宋" w:hint="eastAsia"/>
                <w:sz w:val="22"/>
              </w:rPr>
              <w:t>资产总额</w:t>
            </w:r>
          </w:p>
        </w:tc>
        <w:tc>
          <w:tcPr>
            <w:tcW w:w="3155"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hAnsi="仿宋"/>
                <w:sz w:val="22"/>
              </w:rPr>
              <w:t>——</w:t>
            </w:r>
          </w:p>
        </w:tc>
        <w:tc>
          <w:tcPr>
            <w:tcW w:w="5103"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hAnsi="仿宋"/>
                <w:sz w:val="22"/>
              </w:rPr>
              <w:t>560.6</w:t>
            </w:r>
            <w:r w:rsidRPr="00CE4A39">
              <w:rPr>
                <w:rFonts w:ascii="仿宋" w:eastAsia="仿宋"/>
                <w:sz w:val="22"/>
              </w:rPr>
              <w:t> </w:t>
            </w:r>
          </w:p>
        </w:tc>
      </w:tr>
      <w:tr w:rsidR="00E555A0" w:rsidTr="008F1F53">
        <w:trPr>
          <w:trHeight w:val="645"/>
        </w:trPr>
        <w:tc>
          <w:tcPr>
            <w:tcW w:w="5224" w:type="dxa"/>
            <w:tcBorders>
              <w:top w:val="nil"/>
              <w:left w:val="single" w:sz="8" w:space="0" w:color="auto"/>
              <w:bottom w:val="single" w:sz="8" w:space="0" w:color="auto"/>
              <w:right w:val="single" w:sz="8" w:space="0" w:color="auto"/>
            </w:tcBorders>
            <w:noWrap/>
            <w:vAlign w:val="center"/>
          </w:tcPr>
          <w:p w:rsidR="00E555A0" w:rsidRPr="00CE4A39" w:rsidRDefault="00E555A0">
            <w:pPr>
              <w:jc w:val="left"/>
              <w:rPr>
                <w:rFonts w:ascii="仿宋" w:eastAsia="仿宋" w:hAnsi="仿宋"/>
              </w:rPr>
            </w:pPr>
            <w:r w:rsidRPr="00CE4A39">
              <w:rPr>
                <w:rFonts w:ascii="仿宋" w:eastAsia="仿宋" w:hAnsi="仿宋"/>
                <w:sz w:val="22"/>
              </w:rPr>
              <w:t>1</w:t>
            </w:r>
            <w:r w:rsidRPr="00CE4A39">
              <w:rPr>
                <w:rFonts w:ascii="仿宋" w:eastAsia="仿宋" w:hAnsi="仿宋" w:hint="eastAsia"/>
                <w:sz w:val="22"/>
              </w:rPr>
              <w:t>、房屋（平方米）</w:t>
            </w:r>
          </w:p>
        </w:tc>
        <w:tc>
          <w:tcPr>
            <w:tcW w:w="3155"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sz w:val="22"/>
              </w:rPr>
              <w:t> </w:t>
            </w:r>
            <w:r w:rsidRPr="00CE4A39">
              <w:rPr>
                <w:rFonts w:ascii="仿宋" w:eastAsia="仿宋" w:hAnsi="仿宋"/>
                <w:sz w:val="22"/>
              </w:rPr>
              <w:t>1888.7</w:t>
            </w:r>
          </w:p>
        </w:tc>
        <w:tc>
          <w:tcPr>
            <w:tcW w:w="5103"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sz w:val="22"/>
              </w:rPr>
              <w:t> </w:t>
            </w:r>
            <w:r w:rsidRPr="00CE4A39">
              <w:rPr>
                <w:rFonts w:ascii="仿宋" w:eastAsia="仿宋" w:hAnsi="仿宋"/>
                <w:sz w:val="22"/>
              </w:rPr>
              <w:t>392.9</w:t>
            </w:r>
          </w:p>
        </w:tc>
      </w:tr>
      <w:tr w:rsidR="00E555A0" w:rsidTr="008F1F53">
        <w:trPr>
          <w:trHeight w:val="645"/>
        </w:trPr>
        <w:tc>
          <w:tcPr>
            <w:tcW w:w="5224" w:type="dxa"/>
            <w:tcBorders>
              <w:top w:val="nil"/>
              <w:left w:val="single" w:sz="8" w:space="0" w:color="auto"/>
              <w:bottom w:val="single" w:sz="8" w:space="0" w:color="auto"/>
              <w:right w:val="single" w:sz="8" w:space="0" w:color="auto"/>
            </w:tcBorders>
            <w:noWrap/>
            <w:vAlign w:val="center"/>
          </w:tcPr>
          <w:p w:rsidR="00E555A0" w:rsidRPr="00CE4A39" w:rsidRDefault="00E555A0">
            <w:pPr>
              <w:jc w:val="left"/>
              <w:rPr>
                <w:rFonts w:ascii="仿宋" w:eastAsia="仿宋" w:hAnsi="仿宋"/>
              </w:rPr>
            </w:pPr>
            <w:r w:rsidRPr="00CE4A39">
              <w:rPr>
                <w:rFonts w:ascii="仿宋" w:eastAsia="仿宋"/>
                <w:sz w:val="22"/>
              </w:rPr>
              <w:t>  </w:t>
            </w:r>
            <w:r w:rsidRPr="00CE4A39">
              <w:rPr>
                <w:rFonts w:ascii="仿宋" w:eastAsia="仿宋" w:hAnsi="仿宋"/>
                <w:sz w:val="22"/>
              </w:rPr>
              <w:t xml:space="preserve"> </w:t>
            </w:r>
            <w:r w:rsidRPr="00CE4A39">
              <w:rPr>
                <w:rFonts w:ascii="仿宋" w:eastAsia="仿宋" w:hAnsi="仿宋" w:hint="eastAsia"/>
                <w:sz w:val="22"/>
              </w:rPr>
              <w:t>其中：办公用房（平方米）</w:t>
            </w:r>
          </w:p>
        </w:tc>
        <w:tc>
          <w:tcPr>
            <w:tcW w:w="3155"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sz w:val="22"/>
              </w:rPr>
              <w:t> </w:t>
            </w:r>
          </w:p>
        </w:tc>
        <w:tc>
          <w:tcPr>
            <w:tcW w:w="5103"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sz w:val="22"/>
              </w:rPr>
              <w:t> </w:t>
            </w:r>
          </w:p>
        </w:tc>
      </w:tr>
      <w:tr w:rsidR="00E555A0" w:rsidTr="008F1F53">
        <w:trPr>
          <w:trHeight w:val="645"/>
        </w:trPr>
        <w:tc>
          <w:tcPr>
            <w:tcW w:w="5224" w:type="dxa"/>
            <w:tcBorders>
              <w:top w:val="nil"/>
              <w:left w:val="single" w:sz="8" w:space="0" w:color="auto"/>
              <w:bottom w:val="single" w:sz="8" w:space="0" w:color="auto"/>
              <w:right w:val="single" w:sz="8" w:space="0" w:color="auto"/>
            </w:tcBorders>
            <w:noWrap/>
            <w:vAlign w:val="center"/>
          </w:tcPr>
          <w:p w:rsidR="00E555A0" w:rsidRPr="00CE4A39" w:rsidRDefault="00E555A0">
            <w:pPr>
              <w:jc w:val="left"/>
              <w:rPr>
                <w:rFonts w:ascii="仿宋" w:eastAsia="仿宋" w:hAnsi="仿宋"/>
              </w:rPr>
            </w:pPr>
            <w:r w:rsidRPr="00CE4A39">
              <w:rPr>
                <w:rFonts w:ascii="仿宋" w:eastAsia="仿宋" w:hAnsi="仿宋"/>
                <w:sz w:val="22"/>
              </w:rPr>
              <w:t>2</w:t>
            </w:r>
            <w:r w:rsidRPr="00CE4A39">
              <w:rPr>
                <w:rFonts w:ascii="仿宋" w:eastAsia="仿宋" w:hAnsi="仿宋" w:hint="eastAsia"/>
                <w:sz w:val="22"/>
              </w:rPr>
              <w:t>、车辆（台、辆）</w:t>
            </w:r>
          </w:p>
        </w:tc>
        <w:tc>
          <w:tcPr>
            <w:tcW w:w="3155"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hAnsi="仿宋"/>
                <w:sz w:val="22"/>
              </w:rPr>
              <w:t>2</w:t>
            </w:r>
            <w:r w:rsidRPr="00CE4A39">
              <w:rPr>
                <w:rFonts w:ascii="仿宋" w:eastAsia="仿宋" w:hAnsi="仿宋"/>
                <w:sz w:val="22"/>
              </w:rPr>
              <w:br/>
            </w:r>
          </w:p>
        </w:tc>
        <w:tc>
          <w:tcPr>
            <w:tcW w:w="5103"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hAnsi="仿宋"/>
                <w:sz w:val="22"/>
              </w:rPr>
              <w:t>33.3</w:t>
            </w:r>
            <w:r w:rsidRPr="00CE4A39">
              <w:rPr>
                <w:rFonts w:ascii="仿宋" w:eastAsia="仿宋" w:hAnsi="仿宋"/>
                <w:sz w:val="22"/>
              </w:rPr>
              <w:br/>
            </w:r>
          </w:p>
        </w:tc>
      </w:tr>
      <w:tr w:rsidR="00E555A0" w:rsidTr="008F1F53">
        <w:trPr>
          <w:trHeight w:val="645"/>
        </w:trPr>
        <w:tc>
          <w:tcPr>
            <w:tcW w:w="5224" w:type="dxa"/>
            <w:tcBorders>
              <w:top w:val="nil"/>
              <w:left w:val="single" w:sz="8" w:space="0" w:color="auto"/>
              <w:bottom w:val="single" w:sz="8" w:space="0" w:color="auto"/>
              <w:right w:val="single" w:sz="8" w:space="0" w:color="auto"/>
            </w:tcBorders>
            <w:vAlign w:val="center"/>
          </w:tcPr>
          <w:p w:rsidR="00E555A0" w:rsidRPr="00CE4A39" w:rsidRDefault="00E555A0">
            <w:pPr>
              <w:jc w:val="left"/>
              <w:rPr>
                <w:rFonts w:ascii="仿宋" w:eastAsia="仿宋" w:hAnsi="仿宋"/>
              </w:rPr>
            </w:pPr>
            <w:r w:rsidRPr="00CE4A39">
              <w:rPr>
                <w:rFonts w:ascii="仿宋" w:eastAsia="仿宋" w:hAnsi="仿宋"/>
                <w:sz w:val="22"/>
              </w:rPr>
              <w:t>3</w:t>
            </w:r>
            <w:r w:rsidRPr="00CE4A39">
              <w:rPr>
                <w:rFonts w:ascii="仿宋" w:eastAsia="仿宋" w:hAnsi="仿宋" w:hint="eastAsia"/>
                <w:sz w:val="22"/>
              </w:rPr>
              <w:t>、单价在</w:t>
            </w:r>
            <w:r w:rsidRPr="00CE4A39">
              <w:rPr>
                <w:rFonts w:ascii="仿宋" w:eastAsia="仿宋" w:hAnsi="仿宋"/>
                <w:sz w:val="22"/>
              </w:rPr>
              <w:t>20</w:t>
            </w:r>
            <w:r w:rsidRPr="00CE4A39">
              <w:rPr>
                <w:rFonts w:ascii="仿宋" w:eastAsia="仿宋" w:hAnsi="仿宋" w:hint="eastAsia"/>
                <w:sz w:val="22"/>
              </w:rPr>
              <w:t>万元以上的设备</w:t>
            </w:r>
          </w:p>
        </w:tc>
        <w:tc>
          <w:tcPr>
            <w:tcW w:w="3155"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sz w:val="22"/>
              </w:rPr>
              <w:t> </w:t>
            </w:r>
          </w:p>
        </w:tc>
        <w:tc>
          <w:tcPr>
            <w:tcW w:w="5103"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sz w:val="22"/>
              </w:rPr>
              <w:t> </w:t>
            </w:r>
          </w:p>
        </w:tc>
      </w:tr>
      <w:tr w:rsidR="00E555A0" w:rsidTr="008F1F53">
        <w:trPr>
          <w:trHeight w:val="645"/>
        </w:trPr>
        <w:tc>
          <w:tcPr>
            <w:tcW w:w="5224" w:type="dxa"/>
            <w:tcBorders>
              <w:top w:val="nil"/>
              <w:left w:val="single" w:sz="8" w:space="0" w:color="auto"/>
              <w:bottom w:val="single" w:sz="8" w:space="0" w:color="auto"/>
              <w:right w:val="single" w:sz="8" w:space="0" w:color="auto"/>
            </w:tcBorders>
            <w:noWrap/>
            <w:vAlign w:val="center"/>
          </w:tcPr>
          <w:p w:rsidR="00E555A0" w:rsidRPr="00CE4A39" w:rsidRDefault="00E555A0">
            <w:pPr>
              <w:jc w:val="left"/>
              <w:rPr>
                <w:rFonts w:ascii="仿宋" w:eastAsia="仿宋" w:hAnsi="仿宋"/>
              </w:rPr>
            </w:pPr>
            <w:r w:rsidRPr="00CE4A39">
              <w:rPr>
                <w:rFonts w:ascii="仿宋" w:eastAsia="仿宋" w:hAnsi="仿宋"/>
                <w:sz w:val="22"/>
              </w:rPr>
              <w:t>4</w:t>
            </w:r>
            <w:r w:rsidRPr="00CE4A39">
              <w:rPr>
                <w:rFonts w:ascii="仿宋" w:eastAsia="仿宋" w:hAnsi="仿宋" w:hint="eastAsia"/>
                <w:sz w:val="22"/>
              </w:rPr>
              <w:t>、其他固定资产</w:t>
            </w:r>
          </w:p>
        </w:tc>
        <w:tc>
          <w:tcPr>
            <w:tcW w:w="3155"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sz w:val="22"/>
              </w:rPr>
              <w:t> </w:t>
            </w:r>
          </w:p>
        </w:tc>
        <w:tc>
          <w:tcPr>
            <w:tcW w:w="5103" w:type="dxa"/>
            <w:tcBorders>
              <w:top w:val="nil"/>
              <w:left w:val="nil"/>
              <w:bottom w:val="single" w:sz="8" w:space="0" w:color="auto"/>
              <w:right w:val="single" w:sz="8" w:space="0" w:color="auto"/>
            </w:tcBorders>
            <w:noWrap/>
            <w:vAlign w:val="center"/>
          </w:tcPr>
          <w:p w:rsidR="00E555A0" w:rsidRPr="00CE4A39" w:rsidRDefault="00E555A0">
            <w:pPr>
              <w:jc w:val="center"/>
              <w:rPr>
                <w:rFonts w:ascii="仿宋" w:eastAsia="仿宋" w:hAnsi="仿宋"/>
              </w:rPr>
            </w:pPr>
            <w:r w:rsidRPr="00CE4A39">
              <w:rPr>
                <w:rFonts w:ascii="仿宋" w:eastAsia="仿宋" w:hAnsi="仿宋"/>
                <w:sz w:val="22"/>
              </w:rPr>
              <w:t xml:space="preserve">134.4 </w:t>
            </w:r>
            <w:r w:rsidRPr="00CE4A39">
              <w:rPr>
                <w:rFonts w:ascii="仿宋" w:eastAsia="仿宋" w:hAnsi="仿宋"/>
                <w:sz w:val="22"/>
              </w:rPr>
              <w:br/>
            </w:r>
          </w:p>
        </w:tc>
      </w:tr>
    </w:tbl>
    <w:p w:rsidR="00E555A0" w:rsidRPr="002E2D02" w:rsidRDefault="00E555A0" w:rsidP="002E2D02">
      <w:pPr>
        <w:ind w:firstLineChars="200" w:firstLine="640"/>
        <w:rPr>
          <w:rFonts w:ascii="黑体" w:eastAsia="黑体" w:hAnsi="黑体"/>
          <w:sz w:val="32"/>
          <w:szCs w:val="32"/>
        </w:rPr>
      </w:pPr>
      <w:r>
        <w:rPr>
          <w:rFonts w:ascii="黑体" w:eastAsia="黑体" w:hAnsi="黑体" w:hint="eastAsia"/>
          <w:sz w:val="32"/>
          <w:szCs w:val="32"/>
        </w:rPr>
        <w:t>八、专业名词解释</w:t>
      </w:r>
    </w:p>
    <w:p w:rsidR="00E555A0" w:rsidRPr="00207CAD" w:rsidRDefault="00E555A0" w:rsidP="00BA0DF8">
      <w:pPr>
        <w:pStyle w:val="Default"/>
        <w:ind w:firstLineChars="196" w:firstLine="630"/>
        <w:rPr>
          <w:rFonts w:ascii="仿宋_GB2312" w:eastAsia="仿宋_GB2312"/>
          <w:b/>
          <w:bCs/>
          <w:sz w:val="32"/>
          <w:szCs w:val="32"/>
        </w:rPr>
      </w:pP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、一般公共预算拨款收入：指市级财政当年拨付的资金。</w:t>
      </w:r>
    </w:p>
    <w:p w:rsidR="00E555A0" w:rsidRPr="00207CAD" w:rsidRDefault="00E555A0" w:rsidP="00BA0DF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E555A0" w:rsidRPr="00207CAD" w:rsidRDefault="00E555A0" w:rsidP="00BA0DF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E555A0" w:rsidRPr="00207CAD" w:rsidRDefault="00E555A0" w:rsidP="00BA0DF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E555A0" w:rsidRPr="00207CAD" w:rsidRDefault="00E555A0" w:rsidP="00BA0DF8">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E555A0" w:rsidRPr="00207CAD" w:rsidRDefault="00E555A0" w:rsidP="00BA0DF8">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E555A0" w:rsidRPr="00207CAD" w:rsidRDefault="00E555A0" w:rsidP="00BA0DF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经费：纳入市级财政预算管理的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555A0" w:rsidRPr="00207CAD" w:rsidRDefault="00E555A0" w:rsidP="00BA0DF8">
      <w:pPr>
        <w:rPr>
          <w:rFonts w:ascii="仿宋_GB2312" w:eastAsia="仿宋_GB2312" w:hAnsi="FZFangSong-Z02" w:cs="FZFangSong-Z02"/>
          <w:sz w:val="32"/>
          <w:szCs w:val="32"/>
        </w:rPr>
      </w:pPr>
      <w:r w:rsidRPr="00207CAD">
        <w:rPr>
          <w:rFonts w:ascii="仿宋_GB2312" w:eastAsia="仿宋_GB2312"/>
          <w:b/>
          <w:bCs/>
          <w:sz w:val="32"/>
          <w:szCs w:val="32"/>
        </w:rPr>
        <w:t xml:space="preserve">    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E555A0" w:rsidRDefault="00E555A0" w:rsidP="008F1F53">
      <w:pPr>
        <w:spacing w:line="580" w:lineRule="atLeast"/>
        <w:ind w:firstLine="640"/>
      </w:pPr>
      <w:r>
        <w:rPr>
          <w:rFonts w:ascii="黑体" w:eastAsia="黑体" w:hAnsi="黑体" w:hint="eastAsia"/>
          <w:sz w:val="32"/>
          <w:szCs w:val="32"/>
        </w:rPr>
        <w:t>九、其它需说明的事项</w:t>
      </w:r>
    </w:p>
    <w:p w:rsidR="00E555A0" w:rsidRPr="00CE4A39" w:rsidRDefault="00E555A0" w:rsidP="008F1F53">
      <w:pPr>
        <w:spacing w:line="520" w:lineRule="atLeast"/>
        <w:ind w:firstLine="630"/>
        <w:rPr>
          <w:rFonts w:ascii="仿宋" w:eastAsia="仿宋" w:hAnsi="仿宋"/>
        </w:rPr>
      </w:pPr>
      <w:r w:rsidRPr="00CE4A39">
        <w:rPr>
          <w:rFonts w:ascii="仿宋" w:eastAsia="仿宋" w:hAnsi="仿宋" w:cs="宋体" w:hint="eastAsia"/>
          <w:bCs/>
          <w:sz w:val="32"/>
          <w:szCs w:val="32"/>
        </w:rPr>
        <w:t>无其它需要说明的事项</w:t>
      </w:r>
      <w:r w:rsidRPr="00CE4A39">
        <w:rPr>
          <w:rFonts w:ascii="仿宋" w:eastAsia="仿宋" w:hAnsi="仿宋" w:cs="宋体" w:hint="eastAsia"/>
          <w:sz w:val="32"/>
          <w:szCs w:val="32"/>
        </w:rPr>
        <w:t>。</w:t>
      </w:r>
    </w:p>
    <w:p w:rsidR="00E555A0" w:rsidRPr="008F1F53" w:rsidRDefault="00E555A0" w:rsidP="00BA0DF8">
      <w:pPr>
        <w:tabs>
          <w:tab w:val="left" w:pos="11490"/>
        </w:tabs>
        <w:ind w:firstLineChars="200" w:firstLine="643"/>
        <w:rPr>
          <w:rFonts w:ascii="Times New Roman" w:eastAsia="方正仿宋_GBK" w:hAnsi="Times New Roman"/>
          <w:b/>
          <w:sz w:val="32"/>
          <w:szCs w:val="32"/>
        </w:rPr>
      </w:pPr>
    </w:p>
    <w:p w:rsidR="00E555A0" w:rsidRDefault="00E555A0" w:rsidP="00BA0DF8">
      <w:pPr>
        <w:tabs>
          <w:tab w:val="left" w:pos="11490"/>
        </w:tabs>
        <w:ind w:firstLineChars="200" w:firstLine="643"/>
        <w:rPr>
          <w:rFonts w:ascii="Times New Roman" w:eastAsia="方正仿宋_GBK" w:hAnsi="Times New Roman"/>
          <w:b/>
          <w:sz w:val="32"/>
          <w:szCs w:val="32"/>
        </w:rPr>
      </w:pPr>
    </w:p>
    <w:p w:rsidR="00E555A0" w:rsidRDefault="00E555A0" w:rsidP="00BA0DF8">
      <w:pPr>
        <w:tabs>
          <w:tab w:val="left" w:pos="11490"/>
        </w:tabs>
        <w:ind w:firstLineChars="200" w:firstLine="643"/>
        <w:rPr>
          <w:rFonts w:ascii="Times New Roman" w:eastAsia="方正仿宋_GBK" w:hAnsi="Times New Roman"/>
          <w:b/>
          <w:sz w:val="32"/>
          <w:szCs w:val="32"/>
        </w:rPr>
      </w:pPr>
    </w:p>
    <w:p w:rsidR="00E555A0" w:rsidRPr="008C2BAF" w:rsidRDefault="00E555A0" w:rsidP="00733D7A">
      <w:pPr>
        <w:tabs>
          <w:tab w:val="left" w:pos="11490"/>
        </w:tabs>
        <w:ind w:firstLineChars="200" w:firstLine="640"/>
        <w:rPr>
          <w:rFonts w:ascii="Times New Roman" w:eastAsia="方正仿宋_GBK" w:hAnsi="Times New Roman"/>
          <w:sz w:val="32"/>
          <w:szCs w:val="32"/>
        </w:rPr>
      </w:pPr>
    </w:p>
    <w:sectPr w:rsidR="00E555A0" w:rsidRPr="008C2BAF" w:rsidSect="00EC47F6">
      <w:headerReference w:type="even" r:id="rId6"/>
      <w:headerReference w:type="default" r:id="rId7"/>
      <w:footerReference w:type="even" r:id="rId8"/>
      <w:footerReference w:type="default" r:id="rId9"/>
      <w:headerReference w:type="first" r:id="rId10"/>
      <w:footerReference w:type="first" r:id="rId11"/>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A0" w:rsidRDefault="00E555A0" w:rsidP="008C2BAF">
      <w:r>
        <w:separator/>
      </w:r>
    </w:p>
  </w:endnote>
  <w:endnote w:type="continuationSeparator" w:id="0">
    <w:p w:rsidR="00E555A0" w:rsidRDefault="00E555A0"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0" w:rsidRDefault="00E555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0" w:rsidRDefault="00E555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0" w:rsidRDefault="00E55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A0" w:rsidRDefault="00E555A0" w:rsidP="008C2BAF">
      <w:r>
        <w:separator/>
      </w:r>
    </w:p>
  </w:footnote>
  <w:footnote w:type="continuationSeparator" w:id="0">
    <w:p w:rsidR="00E555A0" w:rsidRDefault="00E555A0" w:rsidP="008C2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0" w:rsidRDefault="00E555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0" w:rsidRDefault="00E555A0" w:rsidP="002E2D0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5A0" w:rsidRDefault="00E555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49EC"/>
    <w:rsid w:val="000343DC"/>
    <w:rsid w:val="00037AF6"/>
    <w:rsid w:val="00045A61"/>
    <w:rsid w:val="00075D5F"/>
    <w:rsid w:val="000C3A19"/>
    <w:rsid w:val="00116DD1"/>
    <w:rsid w:val="001245BB"/>
    <w:rsid w:val="00140E27"/>
    <w:rsid w:val="0018479D"/>
    <w:rsid w:val="001B4F72"/>
    <w:rsid w:val="001C6E21"/>
    <w:rsid w:val="001F2BEA"/>
    <w:rsid w:val="00207CAD"/>
    <w:rsid w:val="00241FD4"/>
    <w:rsid w:val="00251B12"/>
    <w:rsid w:val="002645FB"/>
    <w:rsid w:val="00296113"/>
    <w:rsid w:val="002A4FD3"/>
    <w:rsid w:val="002A591B"/>
    <w:rsid w:val="002E2D02"/>
    <w:rsid w:val="002F3E58"/>
    <w:rsid w:val="0030542C"/>
    <w:rsid w:val="00311B7A"/>
    <w:rsid w:val="00376D42"/>
    <w:rsid w:val="003A42AA"/>
    <w:rsid w:val="003A4525"/>
    <w:rsid w:val="003D39DD"/>
    <w:rsid w:val="003E1A7F"/>
    <w:rsid w:val="003F6ED1"/>
    <w:rsid w:val="00435F15"/>
    <w:rsid w:val="00442325"/>
    <w:rsid w:val="00451871"/>
    <w:rsid w:val="00472923"/>
    <w:rsid w:val="004A7785"/>
    <w:rsid w:val="004E3066"/>
    <w:rsid w:val="004E74CD"/>
    <w:rsid w:val="00503846"/>
    <w:rsid w:val="00573562"/>
    <w:rsid w:val="005A4AF2"/>
    <w:rsid w:val="005C0C90"/>
    <w:rsid w:val="005D555C"/>
    <w:rsid w:val="00614A29"/>
    <w:rsid w:val="00652F35"/>
    <w:rsid w:val="006D6F71"/>
    <w:rsid w:val="00733D7A"/>
    <w:rsid w:val="0075393C"/>
    <w:rsid w:val="007556C5"/>
    <w:rsid w:val="00774D5B"/>
    <w:rsid w:val="00776C08"/>
    <w:rsid w:val="00783541"/>
    <w:rsid w:val="007B4EE0"/>
    <w:rsid w:val="007E1DA8"/>
    <w:rsid w:val="007F6C26"/>
    <w:rsid w:val="00822697"/>
    <w:rsid w:val="00832F64"/>
    <w:rsid w:val="008334AE"/>
    <w:rsid w:val="00836FED"/>
    <w:rsid w:val="00843A68"/>
    <w:rsid w:val="00845CD2"/>
    <w:rsid w:val="008502D8"/>
    <w:rsid w:val="00852B0D"/>
    <w:rsid w:val="00853471"/>
    <w:rsid w:val="008720DE"/>
    <w:rsid w:val="00881692"/>
    <w:rsid w:val="0088236B"/>
    <w:rsid w:val="008B3CC5"/>
    <w:rsid w:val="008C2BAF"/>
    <w:rsid w:val="008E4261"/>
    <w:rsid w:val="008F1F53"/>
    <w:rsid w:val="008F4662"/>
    <w:rsid w:val="00905D08"/>
    <w:rsid w:val="00925753"/>
    <w:rsid w:val="00966C5C"/>
    <w:rsid w:val="00973104"/>
    <w:rsid w:val="009E2D26"/>
    <w:rsid w:val="00A206CF"/>
    <w:rsid w:val="00A421CD"/>
    <w:rsid w:val="00A72D2E"/>
    <w:rsid w:val="00A911E7"/>
    <w:rsid w:val="00A939D9"/>
    <w:rsid w:val="00B20712"/>
    <w:rsid w:val="00B43238"/>
    <w:rsid w:val="00B75216"/>
    <w:rsid w:val="00B91D52"/>
    <w:rsid w:val="00BA0DF8"/>
    <w:rsid w:val="00BA1ACD"/>
    <w:rsid w:val="00C0367B"/>
    <w:rsid w:val="00CA7176"/>
    <w:rsid w:val="00CD2773"/>
    <w:rsid w:val="00CE143B"/>
    <w:rsid w:val="00CE4A39"/>
    <w:rsid w:val="00D900E6"/>
    <w:rsid w:val="00D9708D"/>
    <w:rsid w:val="00DB4CBA"/>
    <w:rsid w:val="00E14843"/>
    <w:rsid w:val="00E167C7"/>
    <w:rsid w:val="00E41A54"/>
    <w:rsid w:val="00E43F49"/>
    <w:rsid w:val="00E4508D"/>
    <w:rsid w:val="00E52264"/>
    <w:rsid w:val="00E555A0"/>
    <w:rsid w:val="00E62488"/>
    <w:rsid w:val="00E81411"/>
    <w:rsid w:val="00EC47F6"/>
    <w:rsid w:val="00EE1B43"/>
    <w:rsid w:val="00F153EF"/>
    <w:rsid w:val="00F55FB6"/>
    <w:rsid w:val="00F66032"/>
    <w:rsid w:val="00F70A5A"/>
    <w:rsid w:val="00F958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customStyle="1" w:styleId="Default">
    <w:name w:val="Default"/>
    <w:uiPriority w:val="99"/>
    <w:rsid w:val="00BA0DF8"/>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24977867">
      <w:marLeft w:val="0"/>
      <w:marRight w:val="0"/>
      <w:marTop w:val="0"/>
      <w:marBottom w:val="0"/>
      <w:divBdr>
        <w:top w:val="none" w:sz="0" w:space="0" w:color="auto"/>
        <w:left w:val="none" w:sz="0" w:space="0" w:color="auto"/>
        <w:bottom w:val="none" w:sz="0" w:space="0" w:color="auto"/>
        <w:right w:val="none" w:sz="0" w:space="0" w:color="auto"/>
      </w:divBdr>
    </w:div>
    <w:div w:id="1524977868">
      <w:marLeft w:val="0"/>
      <w:marRight w:val="0"/>
      <w:marTop w:val="0"/>
      <w:marBottom w:val="0"/>
      <w:divBdr>
        <w:top w:val="none" w:sz="0" w:space="0" w:color="auto"/>
        <w:left w:val="none" w:sz="0" w:space="0" w:color="auto"/>
        <w:bottom w:val="none" w:sz="0" w:space="0" w:color="auto"/>
        <w:right w:val="none" w:sz="0" w:space="0" w:color="auto"/>
      </w:divBdr>
    </w:div>
    <w:div w:id="1524977869">
      <w:marLeft w:val="0"/>
      <w:marRight w:val="0"/>
      <w:marTop w:val="0"/>
      <w:marBottom w:val="0"/>
      <w:divBdr>
        <w:top w:val="none" w:sz="0" w:space="0" w:color="auto"/>
        <w:left w:val="none" w:sz="0" w:space="0" w:color="auto"/>
        <w:bottom w:val="none" w:sz="0" w:space="0" w:color="auto"/>
        <w:right w:val="none" w:sz="0" w:space="0" w:color="auto"/>
      </w:divBdr>
    </w:div>
    <w:div w:id="1524977870">
      <w:marLeft w:val="0"/>
      <w:marRight w:val="0"/>
      <w:marTop w:val="0"/>
      <w:marBottom w:val="0"/>
      <w:divBdr>
        <w:top w:val="none" w:sz="0" w:space="0" w:color="auto"/>
        <w:left w:val="none" w:sz="0" w:space="0" w:color="auto"/>
        <w:bottom w:val="none" w:sz="0" w:space="0" w:color="auto"/>
        <w:right w:val="none" w:sz="0" w:space="0" w:color="auto"/>
      </w:divBdr>
    </w:div>
    <w:div w:id="1524977871">
      <w:marLeft w:val="0"/>
      <w:marRight w:val="0"/>
      <w:marTop w:val="0"/>
      <w:marBottom w:val="0"/>
      <w:divBdr>
        <w:top w:val="none" w:sz="0" w:space="0" w:color="auto"/>
        <w:left w:val="none" w:sz="0" w:space="0" w:color="auto"/>
        <w:bottom w:val="none" w:sz="0" w:space="0" w:color="auto"/>
        <w:right w:val="none" w:sz="0" w:space="0" w:color="auto"/>
      </w:divBdr>
    </w:div>
    <w:div w:id="1524977872">
      <w:marLeft w:val="0"/>
      <w:marRight w:val="0"/>
      <w:marTop w:val="0"/>
      <w:marBottom w:val="0"/>
      <w:divBdr>
        <w:top w:val="none" w:sz="0" w:space="0" w:color="auto"/>
        <w:left w:val="none" w:sz="0" w:space="0" w:color="auto"/>
        <w:bottom w:val="none" w:sz="0" w:space="0" w:color="auto"/>
        <w:right w:val="none" w:sz="0" w:space="0" w:color="auto"/>
      </w:divBdr>
    </w:div>
    <w:div w:id="1524977873">
      <w:marLeft w:val="0"/>
      <w:marRight w:val="0"/>
      <w:marTop w:val="0"/>
      <w:marBottom w:val="0"/>
      <w:divBdr>
        <w:top w:val="none" w:sz="0" w:space="0" w:color="auto"/>
        <w:left w:val="none" w:sz="0" w:space="0" w:color="auto"/>
        <w:bottom w:val="none" w:sz="0" w:space="0" w:color="auto"/>
        <w:right w:val="none" w:sz="0" w:space="0" w:color="auto"/>
      </w:divBdr>
    </w:div>
    <w:div w:id="1524977874">
      <w:marLeft w:val="0"/>
      <w:marRight w:val="0"/>
      <w:marTop w:val="0"/>
      <w:marBottom w:val="0"/>
      <w:divBdr>
        <w:top w:val="none" w:sz="0" w:space="0" w:color="auto"/>
        <w:left w:val="none" w:sz="0" w:space="0" w:color="auto"/>
        <w:bottom w:val="none" w:sz="0" w:space="0" w:color="auto"/>
        <w:right w:val="none" w:sz="0" w:space="0" w:color="auto"/>
      </w:divBdr>
    </w:div>
    <w:div w:id="1524977875">
      <w:marLeft w:val="0"/>
      <w:marRight w:val="0"/>
      <w:marTop w:val="0"/>
      <w:marBottom w:val="0"/>
      <w:divBdr>
        <w:top w:val="none" w:sz="0" w:space="0" w:color="auto"/>
        <w:left w:val="none" w:sz="0" w:space="0" w:color="auto"/>
        <w:bottom w:val="none" w:sz="0" w:space="0" w:color="auto"/>
        <w:right w:val="none" w:sz="0" w:space="0" w:color="auto"/>
      </w:divBdr>
    </w:div>
    <w:div w:id="1524977876">
      <w:marLeft w:val="0"/>
      <w:marRight w:val="0"/>
      <w:marTop w:val="0"/>
      <w:marBottom w:val="0"/>
      <w:divBdr>
        <w:top w:val="none" w:sz="0" w:space="0" w:color="auto"/>
        <w:left w:val="none" w:sz="0" w:space="0" w:color="auto"/>
        <w:bottom w:val="none" w:sz="0" w:space="0" w:color="auto"/>
        <w:right w:val="none" w:sz="0" w:space="0" w:color="auto"/>
      </w:divBdr>
    </w:div>
    <w:div w:id="1524977877">
      <w:marLeft w:val="0"/>
      <w:marRight w:val="0"/>
      <w:marTop w:val="0"/>
      <w:marBottom w:val="0"/>
      <w:divBdr>
        <w:top w:val="none" w:sz="0" w:space="0" w:color="auto"/>
        <w:left w:val="none" w:sz="0" w:space="0" w:color="auto"/>
        <w:bottom w:val="none" w:sz="0" w:space="0" w:color="auto"/>
        <w:right w:val="none" w:sz="0" w:space="0" w:color="auto"/>
      </w:divBdr>
    </w:div>
    <w:div w:id="1524977878">
      <w:marLeft w:val="0"/>
      <w:marRight w:val="0"/>
      <w:marTop w:val="0"/>
      <w:marBottom w:val="0"/>
      <w:divBdr>
        <w:top w:val="none" w:sz="0" w:space="0" w:color="auto"/>
        <w:left w:val="none" w:sz="0" w:space="0" w:color="auto"/>
        <w:bottom w:val="none" w:sz="0" w:space="0" w:color="auto"/>
        <w:right w:val="none" w:sz="0" w:space="0" w:color="auto"/>
      </w:divBdr>
    </w:div>
    <w:div w:id="1524977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496</TotalTime>
  <Pages>10</Pages>
  <Words>588</Words>
  <Characters>3358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75</cp:revision>
  <dcterms:created xsi:type="dcterms:W3CDTF">2017-01-13T03:22:00Z</dcterms:created>
  <dcterms:modified xsi:type="dcterms:W3CDTF">2017-04-21T06:12:00Z</dcterms:modified>
</cp:coreProperties>
</file>